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F6475" w14:textId="5F79479D" w:rsidR="00D714AB" w:rsidRPr="00E37BAA" w:rsidRDefault="00D714AB" w:rsidP="0063405E">
      <w:pPr>
        <w:pStyle w:val="Prrafodelista"/>
        <w:spacing w:line="240" w:lineRule="auto"/>
        <w:rPr>
          <w:rFonts w:cstheme="minorHAnsi"/>
          <w:b/>
          <w:bCs/>
        </w:rPr>
      </w:pPr>
      <w:r w:rsidRPr="00E37BAA">
        <w:rPr>
          <w:rFonts w:cstheme="minorHAnsi"/>
          <w:b/>
          <w:bCs/>
        </w:rPr>
        <w:t>INTRODUCCIÓN</w:t>
      </w:r>
    </w:p>
    <w:p w14:paraId="73BDAE53" w14:textId="12F2CBE3" w:rsidR="00D714AB" w:rsidRPr="00E37BAA" w:rsidRDefault="000B5751" w:rsidP="0063405E">
      <w:pPr>
        <w:spacing w:after="0" w:line="240" w:lineRule="auto"/>
        <w:jc w:val="both"/>
        <w:rPr>
          <w:rFonts w:cstheme="minorHAnsi"/>
        </w:rPr>
      </w:pPr>
      <w:r>
        <w:rPr>
          <w:rFonts w:cstheme="minorHAnsi"/>
        </w:rPr>
        <w:t>D</w:t>
      </w:r>
      <w:r w:rsidR="00D714AB" w:rsidRPr="00005560">
        <w:rPr>
          <w:rFonts w:cstheme="minorHAnsi"/>
        </w:rPr>
        <w:t>espués de un análisis riguroso de la estructura, estrategia e inconvenientes identificados en materia de seguridad y convivencia del Distrito, tanto en su política pública como</w:t>
      </w:r>
      <w:r w:rsidR="00D714AB" w:rsidRPr="00E37BAA">
        <w:rPr>
          <w:rFonts w:cstheme="minorHAnsi"/>
        </w:rPr>
        <w:t xml:space="preserve"> en el destino de la inversión de recursos públicos</w:t>
      </w:r>
      <w:r w:rsidR="003152EE" w:rsidRPr="00E37BAA">
        <w:rPr>
          <w:rFonts w:cstheme="minorHAnsi"/>
        </w:rPr>
        <w:t xml:space="preserve"> y en la estructura institucional</w:t>
      </w:r>
      <w:r w:rsidR="00D714AB" w:rsidRPr="00E37BAA">
        <w:rPr>
          <w:rFonts w:cstheme="minorHAnsi"/>
        </w:rPr>
        <w:t>, el alcalde Enrique Peñalosa en su programa de gobierno, asumió el compromiso con Bogotá de reestructurar la estrategia de seguridad y convivencia del Distrito, así como la de optimizar la utilización de los recursos públicos.</w:t>
      </w:r>
    </w:p>
    <w:p w14:paraId="4ED58D7A" w14:textId="77777777" w:rsidR="00D714AB" w:rsidRPr="00E37BAA" w:rsidRDefault="00D714AB" w:rsidP="0063405E">
      <w:pPr>
        <w:spacing w:after="0" w:line="240" w:lineRule="auto"/>
        <w:jc w:val="both"/>
        <w:rPr>
          <w:rFonts w:cstheme="minorHAnsi"/>
        </w:rPr>
      </w:pPr>
    </w:p>
    <w:p w14:paraId="71A16DBD" w14:textId="6E981BD2" w:rsidR="00D714AB" w:rsidRPr="00E37BAA" w:rsidRDefault="00D714AB" w:rsidP="0063405E">
      <w:pPr>
        <w:spacing w:after="0" w:line="240" w:lineRule="auto"/>
        <w:jc w:val="both"/>
        <w:rPr>
          <w:rFonts w:cstheme="minorHAnsi"/>
        </w:rPr>
      </w:pPr>
      <w:r w:rsidRPr="00E37BAA">
        <w:rPr>
          <w:rFonts w:cstheme="minorHAnsi"/>
        </w:rPr>
        <w:t>Bajo esta premisa</w:t>
      </w:r>
      <w:r w:rsidR="009A747E">
        <w:rPr>
          <w:rFonts w:cstheme="minorHAnsi"/>
        </w:rPr>
        <w:t xml:space="preserve"> </w:t>
      </w:r>
      <w:r w:rsidRPr="00E37BAA">
        <w:rPr>
          <w:rFonts w:cstheme="minorHAnsi"/>
        </w:rPr>
        <w:t xml:space="preserve">se creó el Sector Seguridad en cabeza de la nueva Secretaría Distrital de Seguridad, Convivencia y Justicia -SDSCJ- (Acuerdo 637 de 2016), con </w:t>
      </w:r>
      <w:r w:rsidR="009A747E">
        <w:rPr>
          <w:rFonts w:cstheme="minorHAnsi"/>
        </w:rPr>
        <w:t>los</w:t>
      </w:r>
      <w:r w:rsidRPr="00E37BAA">
        <w:rPr>
          <w:rFonts w:cstheme="minorHAnsi"/>
        </w:rPr>
        <w:t xml:space="preserve"> objetivo</w:t>
      </w:r>
      <w:r w:rsidR="009A747E">
        <w:rPr>
          <w:rFonts w:cstheme="minorHAnsi"/>
        </w:rPr>
        <w:t>s</w:t>
      </w:r>
      <w:r w:rsidRPr="00E37BAA">
        <w:rPr>
          <w:rFonts w:cstheme="minorHAnsi"/>
        </w:rPr>
        <w:t>, entre otros, de</w:t>
      </w:r>
      <w:r w:rsidR="009A747E">
        <w:rPr>
          <w:rFonts w:cstheme="minorHAnsi"/>
        </w:rPr>
        <w:t xml:space="preserve"> responder a las metas propuestas en el Plan de Desarrollo Distrital en materia de seguridad y</w:t>
      </w:r>
      <w:r w:rsidRPr="00E37BAA">
        <w:rPr>
          <w:rFonts w:cstheme="minorHAnsi"/>
        </w:rPr>
        <w:t xml:space="preserve"> articular a las entidades nacionales y distritales y direccionar adecuadamente los recursos destinados al cumplimiento de los objetivos de la Política Pública Distrital, materializados en el Plan Integral de Seguridad, Convivencia y Justicia -PISCJ- (Resolución 001 de 2017).</w:t>
      </w:r>
    </w:p>
    <w:p w14:paraId="58FBE57E" w14:textId="77777777" w:rsidR="00D714AB" w:rsidRPr="00E37BAA" w:rsidRDefault="00D714AB" w:rsidP="0063405E">
      <w:pPr>
        <w:spacing w:after="0" w:line="240" w:lineRule="auto"/>
        <w:jc w:val="both"/>
        <w:rPr>
          <w:rFonts w:cstheme="minorHAnsi"/>
        </w:rPr>
      </w:pPr>
    </w:p>
    <w:p w14:paraId="529FFA19" w14:textId="77777777" w:rsidR="00D714AB" w:rsidRPr="00E37BAA" w:rsidRDefault="00D714AB" w:rsidP="0063405E">
      <w:pPr>
        <w:spacing w:after="0" w:line="240" w:lineRule="auto"/>
        <w:jc w:val="both"/>
        <w:rPr>
          <w:rFonts w:cstheme="minorHAnsi"/>
        </w:rPr>
      </w:pPr>
      <w:r w:rsidRPr="00E37BAA">
        <w:rPr>
          <w:rFonts w:cstheme="minorHAnsi"/>
        </w:rPr>
        <w:t>Este Plan Integral se convirtió en la ruta de formulación, ejecución, seguimiento y evaluación de programas y estrategias ajustadas a las dinámicas en cada territorio, encaminadas a prevenir la ocurrencia de delitos, disminuir índices de delincuencia, mejorar la percepción de seguridad y las tasas de victimización, así como, a garantizar un acceso ágil y oportuno a los mecanismos de justicia formal y no formal del Distrito, aunado a la inversión en equipamientos y tecnologías como herramientas que contribuyen al mejoramiento de las condiciones de seguridad en el Distrito Capital.</w:t>
      </w:r>
    </w:p>
    <w:p w14:paraId="5E4A7D6D" w14:textId="77777777" w:rsidR="00D714AB" w:rsidRPr="00E37BAA" w:rsidRDefault="00D714AB" w:rsidP="0063405E">
      <w:pPr>
        <w:spacing w:after="0" w:line="240" w:lineRule="auto"/>
        <w:jc w:val="both"/>
        <w:rPr>
          <w:rFonts w:cstheme="minorHAnsi"/>
        </w:rPr>
      </w:pPr>
      <w:r w:rsidRPr="00E37BAA">
        <w:rPr>
          <w:rFonts w:cstheme="minorHAnsi"/>
        </w:rPr>
        <w:t xml:space="preserve"> </w:t>
      </w:r>
    </w:p>
    <w:p w14:paraId="6ABAB176" w14:textId="1073F88E" w:rsidR="00D714AB" w:rsidRPr="00E37BAA" w:rsidRDefault="00D714AB" w:rsidP="0063405E">
      <w:pPr>
        <w:spacing w:after="0" w:line="240" w:lineRule="auto"/>
        <w:jc w:val="both"/>
        <w:rPr>
          <w:rFonts w:cstheme="minorHAnsi"/>
        </w:rPr>
      </w:pPr>
      <w:r w:rsidRPr="00E37BAA">
        <w:rPr>
          <w:rFonts w:cstheme="minorHAnsi"/>
        </w:rPr>
        <w:t>Como resultado de la estrategia trazada desde el Programa de Gobierno, el Plan de Desarrollo “Bogotá Mejor para Todos”</w:t>
      </w:r>
      <w:r w:rsidR="00FA6051">
        <w:rPr>
          <w:rFonts w:cstheme="minorHAnsi"/>
        </w:rPr>
        <w:t xml:space="preserve"> 2016-2020</w:t>
      </w:r>
      <w:r w:rsidRPr="00E37BAA">
        <w:rPr>
          <w:rFonts w:cstheme="minorHAnsi"/>
        </w:rPr>
        <w:t xml:space="preserve">, se entrega al Distrito Capital un sector conformado y consolidado, que presenta resultados en materia de mejoramiento de la calidad de vida de los ciudadanos, la inversión eficiente y eficaz de los recursos públicos y un fortalecimiento sin precedentes de los organismos de seguridad del Distrito Capital con estándares de última tecnología y de competitividad como referente a nivel regional y nacional. </w:t>
      </w:r>
    </w:p>
    <w:p w14:paraId="483A8ABE" w14:textId="77777777" w:rsidR="00F65319" w:rsidRPr="00E37BAA" w:rsidRDefault="00F65319" w:rsidP="0063405E">
      <w:pPr>
        <w:spacing w:after="0" w:line="240" w:lineRule="auto"/>
        <w:jc w:val="both"/>
        <w:rPr>
          <w:rFonts w:cstheme="minorHAnsi"/>
        </w:rPr>
      </w:pPr>
    </w:p>
    <w:p w14:paraId="35D3114D" w14:textId="64B8CE27" w:rsidR="002F7849" w:rsidRPr="00E37BAA" w:rsidRDefault="00D714AB" w:rsidP="0063405E">
      <w:pPr>
        <w:spacing w:after="0" w:line="240" w:lineRule="auto"/>
        <w:jc w:val="both"/>
        <w:rPr>
          <w:rFonts w:cstheme="minorHAnsi"/>
        </w:rPr>
      </w:pPr>
      <w:r w:rsidRPr="00E37BAA">
        <w:rPr>
          <w:rFonts w:cstheme="minorHAnsi"/>
        </w:rPr>
        <w:t>Sin embargo, es importante tener en cuenta en esta materia que la dinámica compleja y multicausal de factores que inciden en las condiciones de seguridad de la ciudad, evidencian problemas que, a pesar de la gestión realizada durante la administración, tienen el riesgo de persistir.</w:t>
      </w:r>
      <w:r w:rsidR="00F65319" w:rsidRPr="00E37BAA">
        <w:rPr>
          <w:rFonts w:cstheme="minorHAnsi"/>
        </w:rPr>
        <w:t xml:space="preserve"> </w:t>
      </w:r>
    </w:p>
    <w:p w14:paraId="54D48631" w14:textId="77777777" w:rsidR="002F7849" w:rsidRPr="00E37BAA" w:rsidRDefault="002F7849" w:rsidP="0063405E">
      <w:pPr>
        <w:spacing w:after="0" w:line="240" w:lineRule="auto"/>
        <w:jc w:val="both"/>
        <w:rPr>
          <w:rFonts w:cstheme="minorHAnsi"/>
        </w:rPr>
      </w:pPr>
    </w:p>
    <w:p w14:paraId="26661D88" w14:textId="77777777" w:rsidR="00FA6051" w:rsidRDefault="000623A2" w:rsidP="0063405E">
      <w:pPr>
        <w:spacing w:after="0" w:line="240" w:lineRule="auto"/>
        <w:jc w:val="both"/>
        <w:rPr>
          <w:rFonts w:cstheme="minorHAnsi"/>
        </w:rPr>
      </w:pPr>
      <w:r>
        <w:rPr>
          <w:rFonts w:cstheme="minorHAnsi"/>
        </w:rPr>
        <w:t>De acuerdo a lo expuesto</w:t>
      </w:r>
      <w:r w:rsidR="002F7849" w:rsidRPr="00E37BAA">
        <w:rPr>
          <w:rFonts w:cstheme="minorHAnsi"/>
        </w:rPr>
        <w:t xml:space="preserve">, </w:t>
      </w:r>
      <w:r w:rsidR="007261F6">
        <w:rPr>
          <w:rFonts w:cstheme="minorHAnsi"/>
        </w:rPr>
        <w:t>la problemática central</w:t>
      </w:r>
      <w:r w:rsidR="004C105A">
        <w:rPr>
          <w:rFonts w:cstheme="minorHAnsi"/>
        </w:rPr>
        <w:t xml:space="preserve"> </w:t>
      </w:r>
      <w:r w:rsidR="00304B2C">
        <w:rPr>
          <w:rFonts w:cstheme="minorHAnsi"/>
        </w:rPr>
        <w:t xml:space="preserve">de este documento </w:t>
      </w:r>
      <w:r w:rsidR="004C105A">
        <w:rPr>
          <w:rFonts w:cstheme="minorHAnsi"/>
        </w:rPr>
        <w:t xml:space="preserve">se enfoca </w:t>
      </w:r>
      <w:r w:rsidR="009F617C" w:rsidRPr="00E37BAA">
        <w:rPr>
          <w:rFonts w:cstheme="minorHAnsi"/>
        </w:rPr>
        <w:t xml:space="preserve">en la reducción de </w:t>
      </w:r>
      <w:r w:rsidR="002F7849" w:rsidRPr="00E37BAA">
        <w:rPr>
          <w:rFonts w:cstheme="minorHAnsi"/>
        </w:rPr>
        <w:t xml:space="preserve">la frecuencia </w:t>
      </w:r>
      <w:r w:rsidR="009F617C" w:rsidRPr="00E37BAA">
        <w:rPr>
          <w:rFonts w:cstheme="minorHAnsi"/>
        </w:rPr>
        <w:t>en</w:t>
      </w:r>
      <w:r w:rsidR="002F7849" w:rsidRPr="00E37BAA">
        <w:rPr>
          <w:rFonts w:cstheme="minorHAnsi"/>
        </w:rPr>
        <w:t xml:space="preserve"> la ocurrencia de </w:t>
      </w:r>
      <w:r w:rsidR="00483772" w:rsidRPr="00E37BAA">
        <w:rPr>
          <w:rFonts w:cstheme="minorHAnsi"/>
        </w:rPr>
        <w:t>los delitos como homicidio y lesiones personales con factores asociados como las riñas</w:t>
      </w:r>
      <w:r w:rsidR="002F7849" w:rsidRPr="00E37BAA">
        <w:rPr>
          <w:rFonts w:cstheme="minorHAnsi"/>
        </w:rPr>
        <w:t>,</w:t>
      </w:r>
      <w:r w:rsidR="004C105A">
        <w:rPr>
          <w:rFonts w:cstheme="minorHAnsi"/>
        </w:rPr>
        <w:t xml:space="preserve"> debido a que su ocurrencia es la que más genera impacto en el bienestar de los ciudadanos en el marco de la obligación del estado de proteger la vida</w:t>
      </w:r>
      <w:r w:rsidR="00483772" w:rsidRPr="00E37BAA">
        <w:rPr>
          <w:rFonts w:cstheme="minorHAnsi"/>
        </w:rPr>
        <w:t xml:space="preserve">. </w:t>
      </w:r>
      <w:r w:rsidR="004C105A">
        <w:rPr>
          <w:rFonts w:cstheme="minorHAnsi"/>
        </w:rPr>
        <w:t xml:space="preserve"> Si bien es claro que lo mencionado anteriormente no representa la única problemática de seguridad en términos de impacto </w:t>
      </w:r>
      <w:r w:rsidR="00304B2C">
        <w:rPr>
          <w:rFonts w:cstheme="minorHAnsi"/>
        </w:rPr>
        <w:t>en la actualidad</w:t>
      </w:r>
      <w:r w:rsidR="00B876BB">
        <w:rPr>
          <w:rFonts w:cstheme="minorHAnsi"/>
        </w:rPr>
        <w:t xml:space="preserve"> bogotana</w:t>
      </w:r>
      <w:r w:rsidR="00304B2C">
        <w:rPr>
          <w:rFonts w:cstheme="minorHAnsi"/>
        </w:rPr>
        <w:t xml:space="preserve">, </w:t>
      </w:r>
      <w:r w:rsidR="00B876BB">
        <w:rPr>
          <w:rFonts w:cstheme="minorHAnsi"/>
        </w:rPr>
        <w:t xml:space="preserve">las consecuencias por no mantener su reducción generan costos sociales y económicos que generalmente </w:t>
      </w:r>
      <w:r w:rsidR="00FA6051">
        <w:rPr>
          <w:rFonts w:cstheme="minorHAnsi"/>
        </w:rPr>
        <w:t>se encuentran</w:t>
      </w:r>
      <w:r w:rsidR="00B876BB">
        <w:rPr>
          <w:rFonts w:cstheme="minorHAnsi"/>
        </w:rPr>
        <w:t xml:space="preserve"> concentrados en las poblaciones</w:t>
      </w:r>
      <w:r w:rsidR="00FA6051">
        <w:rPr>
          <w:rFonts w:cstheme="minorHAnsi"/>
        </w:rPr>
        <w:t xml:space="preserve"> con mayor situación de </w:t>
      </w:r>
      <w:r w:rsidR="00B876BB">
        <w:rPr>
          <w:rFonts w:cstheme="minorHAnsi"/>
        </w:rPr>
        <w:t>vulnerab</w:t>
      </w:r>
      <w:r w:rsidR="00FA6051">
        <w:rPr>
          <w:rFonts w:cstheme="minorHAnsi"/>
        </w:rPr>
        <w:t xml:space="preserve">ilidad </w:t>
      </w:r>
      <w:r w:rsidR="00B876BB">
        <w:rPr>
          <w:rFonts w:cstheme="minorHAnsi"/>
        </w:rPr>
        <w:t xml:space="preserve">y profundiza el ciclo de su precariedad en </w:t>
      </w:r>
      <w:r w:rsidR="00816897">
        <w:rPr>
          <w:rFonts w:cstheme="minorHAnsi"/>
        </w:rPr>
        <w:t>el acceso a bienes y servicios, redundando en la pérdida sistemática de su calidad de vida</w:t>
      </w:r>
      <w:r w:rsidR="00B876BB">
        <w:rPr>
          <w:rFonts w:cstheme="minorHAnsi"/>
        </w:rPr>
        <w:t>.</w:t>
      </w:r>
      <w:r w:rsidR="004E4AE7">
        <w:rPr>
          <w:rFonts w:cstheme="minorHAnsi"/>
        </w:rPr>
        <w:t xml:space="preserve"> </w:t>
      </w:r>
    </w:p>
    <w:p w14:paraId="0F8F43F0" w14:textId="77777777" w:rsidR="00FA6051" w:rsidRDefault="00FA6051" w:rsidP="0063405E">
      <w:pPr>
        <w:spacing w:after="0" w:line="240" w:lineRule="auto"/>
        <w:jc w:val="both"/>
        <w:rPr>
          <w:rFonts w:cstheme="minorHAnsi"/>
        </w:rPr>
      </w:pPr>
    </w:p>
    <w:p w14:paraId="1CFDA553" w14:textId="3687B749" w:rsidR="00CB02C3" w:rsidRDefault="004E4AE7" w:rsidP="0063405E">
      <w:pPr>
        <w:spacing w:after="0" w:line="240" w:lineRule="auto"/>
        <w:jc w:val="both"/>
        <w:rPr>
          <w:rFonts w:cstheme="minorHAnsi"/>
        </w:rPr>
      </w:pPr>
      <w:r>
        <w:rPr>
          <w:rFonts w:cstheme="minorHAnsi"/>
        </w:rPr>
        <w:t xml:space="preserve">Adicionalmente, </w:t>
      </w:r>
      <w:r w:rsidRPr="00E37BAA">
        <w:rPr>
          <w:rFonts w:cstheme="minorHAnsi"/>
        </w:rPr>
        <w:t>el desempeño de la mayoría de los delitos contra el patrimonio ha evidenciado tendencias hacia la reducción</w:t>
      </w:r>
      <w:r>
        <w:rPr>
          <w:rFonts w:cstheme="minorHAnsi"/>
        </w:rPr>
        <w:t xml:space="preserve"> y en el último cuatrienio se han realizado diferentes acciones que denotan el carácter prioritario en su atención, como las 3 operaciones “</w:t>
      </w:r>
      <w:proofErr w:type="spellStart"/>
      <w:r w:rsidRPr="004E4AE7">
        <w:rPr>
          <w:rFonts w:cstheme="minorHAnsi"/>
          <w:i/>
        </w:rPr>
        <w:t>Metropoli</w:t>
      </w:r>
      <w:proofErr w:type="spellEnd"/>
      <w:r>
        <w:rPr>
          <w:rFonts w:cstheme="minorHAnsi"/>
        </w:rPr>
        <w:t>”, entre otras, y que deben mantenerse en el tiempo para mitigar su impacto en la población.</w:t>
      </w:r>
    </w:p>
    <w:p w14:paraId="0A271D90" w14:textId="77777777" w:rsidR="004E4AE7" w:rsidRPr="00E37BAA" w:rsidRDefault="004E4AE7" w:rsidP="0063405E">
      <w:pPr>
        <w:spacing w:after="0" w:line="240" w:lineRule="auto"/>
        <w:jc w:val="both"/>
        <w:rPr>
          <w:rFonts w:cstheme="minorHAnsi"/>
        </w:rPr>
      </w:pPr>
    </w:p>
    <w:p w14:paraId="2FF11230" w14:textId="77777777" w:rsidR="00FA6051" w:rsidRDefault="00350650" w:rsidP="0063405E">
      <w:pPr>
        <w:spacing w:line="240" w:lineRule="auto"/>
        <w:jc w:val="both"/>
        <w:rPr>
          <w:rFonts w:cstheme="minorHAnsi"/>
        </w:rPr>
      </w:pPr>
      <w:r w:rsidRPr="00E37BAA">
        <w:rPr>
          <w:rFonts w:cstheme="minorHAnsi"/>
        </w:rPr>
        <w:t xml:space="preserve">Ahora, para describir </w:t>
      </w:r>
      <w:r w:rsidR="00816897">
        <w:rPr>
          <w:rFonts w:cstheme="minorHAnsi"/>
        </w:rPr>
        <w:t>el sentido lógico</w:t>
      </w:r>
      <w:r w:rsidRPr="00E37BAA">
        <w:rPr>
          <w:rFonts w:cstheme="minorHAnsi"/>
        </w:rPr>
        <w:t xml:space="preserve"> del documento, el primer problema </w:t>
      </w:r>
      <w:r w:rsidR="003F4BC1">
        <w:rPr>
          <w:rFonts w:cstheme="minorHAnsi"/>
        </w:rPr>
        <w:t>definido p</w:t>
      </w:r>
      <w:r w:rsidR="000623A2">
        <w:rPr>
          <w:rFonts w:cstheme="minorHAnsi"/>
        </w:rPr>
        <w:t>a</w:t>
      </w:r>
      <w:r w:rsidR="003F4BC1">
        <w:rPr>
          <w:rFonts w:cstheme="minorHAnsi"/>
        </w:rPr>
        <w:t>r</w:t>
      </w:r>
      <w:r w:rsidR="000623A2">
        <w:rPr>
          <w:rFonts w:cstheme="minorHAnsi"/>
        </w:rPr>
        <w:t>a</w:t>
      </w:r>
      <w:r w:rsidR="003F4BC1">
        <w:rPr>
          <w:rFonts w:cstheme="minorHAnsi"/>
        </w:rPr>
        <w:t xml:space="preserve"> </w:t>
      </w:r>
      <w:r w:rsidRPr="00E37BAA">
        <w:rPr>
          <w:rFonts w:cstheme="minorHAnsi"/>
        </w:rPr>
        <w:t>el sostenimiento en la reducción de la frecuencia de</w:t>
      </w:r>
      <w:r w:rsidR="00802BCD">
        <w:rPr>
          <w:rFonts w:cstheme="minorHAnsi"/>
        </w:rPr>
        <w:t xml:space="preserve"> la ocurrencia de l</w:t>
      </w:r>
      <w:r w:rsidRPr="00E37BAA">
        <w:rPr>
          <w:rFonts w:cstheme="minorHAnsi"/>
        </w:rPr>
        <w:t xml:space="preserve">os delitos de homicidio y lesiones personales con factores asociados como las riñas, representa la </w:t>
      </w:r>
      <w:r w:rsidRPr="00F14C3F">
        <w:rPr>
          <w:rFonts w:cstheme="minorHAnsi"/>
        </w:rPr>
        <w:t>problemática central</w:t>
      </w:r>
      <w:r w:rsidR="00A77DE8">
        <w:rPr>
          <w:rFonts w:cstheme="minorHAnsi"/>
        </w:rPr>
        <w:t xml:space="preserve"> (Problema 1),</w:t>
      </w:r>
      <w:r w:rsidRPr="00E37BAA">
        <w:rPr>
          <w:rFonts w:cstheme="minorHAnsi"/>
        </w:rPr>
        <w:t xml:space="preserve"> y los problemas de</w:t>
      </w:r>
      <w:r w:rsidR="00E9202D" w:rsidRPr="00E37BAA">
        <w:rPr>
          <w:rFonts w:cstheme="minorHAnsi"/>
        </w:rPr>
        <w:t>l seguimiento a la ejecución de la inversión y la consolidación del Sistema Distrital de Acceso a la Justicia</w:t>
      </w:r>
      <w:r w:rsidR="00A77DE8">
        <w:rPr>
          <w:rFonts w:cstheme="minorHAnsi"/>
        </w:rPr>
        <w:t xml:space="preserve"> (Problemas 2 y 3 respectivamente)</w:t>
      </w:r>
      <w:r w:rsidR="00E9202D" w:rsidRPr="00E37BAA">
        <w:rPr>
          <w:rFonts w:cstheme="minorHAnsi"/>
        </w:rPr>
        <w:t xml:space="preserve"> operan en función de </w:t>
      </w:r>
      <w:r w:rsidR="00F14C3F">
        <w:rPr>
          <w:rFonts w:cstheme="minorHAnsi"/>
        </w:rPr>
        <w:t>ella</w:t>
      </w:r>
      <w:r w:rsidR="00E9202D" w:rsidRPr="00E37BAA">
        <w:rPr>
          <w:rFonts w:cstheme="minorHAnsi"/>
        </w:rPr>
        <w:t xml:space="preserve"> en la medida en que, si no son sostenidos los esfuerzos institucionales, entre otros factores, existe el riesgo que se rompa la tendencia de reducción actual en los delitos mencionados y aumenten los casos. </w:t>
      </w:r>
    </w:p>
    <w:p w14:paraId="74EA84C1" w14:textId="062E0E8E" w:rsidR="00816897" w:rsidRPr="00E37BAA" w:rsidRDefault="00816897" w:rsidP="0063405E">
      <w:pPr>
        <w:spacing w:line="240" w:lineRule="auto"/>
        <w:jc w:val="both"/>
        <w:rPr>
          <w:rFonts w:cstheme="minorHAnsi"/>
        </w:rPr>
      </w:pPr>
      <w:r>
        <w:rPr>
          <w:rFonts w:cstheme="minorHAnsi"/>
        </w:rPr>
        <w:t>La estructura planteada a continuación retrata específicamente</w:t>
      </w:r>
      <w:r w:rsidR="00A77DE8">
        <w:rPr>
          <w:rFonts w:cstheme="minorHAnsi"/>
        </w:rPr>
        <w:t xml:space="preserve"> </w:t>
      </w:r>
      <w:r>
        <w:rPr>
          <w:rFonts w:cstheme="minorHAnsi"/>
        </w:rPr>
        <w:t>lo propuesto en la directiva 002 de 2019</w:t>
      </w:r>
      <w:r w:rsidR="00F14C3F">
        <w:rPr>
          <w:rFonts w:cstheme="minorHAnsi"/>
        </w:rPr>
        <w:t xml:space="preserve"> ya que s</w:t>
      </w:r>
      <w:r>
        <w:rPr>
          <w:rFonts w:cstheme="minorHAnsi"/>
        </w:rPr>
        <w:t>e abordará la problemática inicialmente definiendo el problema</w:t>
      </w:r>
      <w:r w:rsidR="00F14C3F">
        <w:rPr>
          <w:rFonts w:cstheme="minorHAnsi"/>
        </w:rPr>
        <w:t xml:space="preserve"> ubicado temporalmente en el presente</w:t>
      </w:r>
      <w:r>
        <w:rPr>
          <w:rFonts w:cstheme="minorHAnsi"/>
        </w:rPr>
        <w:t>, para luego hacer un repaso por su evolución</w:t>
      </w:r>
      <w:r w:rsidR="00F14C3F">
        <w:rPr>
          <w:rFonts w:cstheme="minorHAnsi"/>
        </w:rPr>
        <w:t xml:space="preserve"> en el tiempo desde el momento que fue abordado,</w:t>
      </w:r>
      <w:r>
        <w:rPr>
          <w:rFonts w:cstheme="minorHAnsi"/>
        </w:rPr>
        <w:t xml:space="preserve"> </w:t>
      </w:r>
      <w:r w:rsidR="00F14C3F">
        <w:rPr>
          <w:rFonts w:cstheme="minorHAnsi"/>
        </w:rPr>
        <w:t>seguido de la presentación de</w:t>
      </w:r>
      <w:r>
        <w:rPr>
          <w:rFonts w:cstheme="minorHAnsi"/>
        </w:rPr>
        <w:t xml:space="preserve"> las causas</w:t>
      </w:r>
      <w:r w:rsidR="00F14C3F">
        <w:rPr>
          <w:rFonts w:cstheme="minorHAnsi"/>
        </w:rPr>
        <w:t xml:space="preserve"> de la persistencia del problema definido y, finalmente, exponer las consecuencias de dicha persistencia. </w:t>
      </w:r>
      <w:r>
        <w:rPr>
          <w:rFonts w:cstheme="minorHAnsi"/>
        </w:rPr>
        <w:t xml:space="preserve">  </w:t>
      </w:r>
    </w:p>
    <w:p w14:paraId="3C8EA17B" w14:textId="4E4D0C4F" w:rsidR="000048BE" w:rsidRPr="00E37BAA" w:rsidRDefault="008B0CF1" w:rsidP="0063405E">
      <w:pPr>
        <w:spacing w:line="240" w:lineRule="auto"/>
        <w:jc w:val="both"/>
        <w:rPr>
          <w:rFonts w:cstheme="minorHAnsi"/>
          <w:b/>
          <w:bCs/>
        </w:rPr>
      </w:pPr>
      <w:bookmarkStart w:id="0" w:name="_Hlk22549438"/>
      <w:r w:rsidRPr="00F14C3F">
        <w:rPr>
          <w:rFonts w:cstheme="minorHAnsi"/>
          <w:b/>
          <w:bCs/>
          <w:u w:val="single"/>
        </w:rPr>
        <w:t>PROBLEMA 1.</w:t>
      </w:r>
      <w:r w:rsidRPr="00E37BAA">
        <w:rPr>
          <w:rFonts w:cstheme="minorHAnsi"/>
          <w:b/>
          <w:bCs/>
        </w:rPr>
        <w:t xml:space="preserve"> SOSTENIMIENTO EN LA REDUCCIÓN DE LA FRECUENCIA EN LA OCURRENCIA DE DELITOS PRIORIZADOS</w:t>
      </w:r>
    </w:p>
    <w:p w14:paraId="46D5C992" w14:textId="65D868F5" w:rsidR="000048BE" w:rsidRPr="008B0CF1" w:rsidRDefault="000048BE" w:rsidP="0063405E">
      <w:pPr>
        <w:pStyle w:val="Prrafodelista"/>
        <w:numPr>
          <w:ilvl w:val="0"/>
          <w:numId w:val="23"/>
        </w:numPr>
        <w:spacing w:line="240" w:lineRule="auto"/>
        <w:jc w:val="both"/>
        <w:rPr>
          <w:rFonts w:cstheme="minorHAnsi"/>
          <w:b/>
        </w:rPr>
      </w:pPr>
      <w:r w:rsidRPr="008B0CF1">
        <w:rPr>
          <w:rFonts w:cstheme="minorHAnsi"/>
          <w:b/>
        </w:rPr>
        <w:t>Definición del problema</w:t>
      </w:r>
    </w:p>
    <w:p w14:paraId="0705850D" w14:textId="5075CC39" w:rsidR="00491F72" w:rsidRDefault="000048BE" w:rsidP="0063405E">
      <w:pPr>
        <w:spacing w:line="240" w:lineRule="auto"/>
        <w:jc w:val="both"/>
        <w:rPr>
          <w:rFonts w:cstheme="minorHAnsi"/>
        </w:rPr>
      </w:pPr>
      <w:r w:rsidRPr="00E37BAA">
        <w:rPr>
          <w:rFonts w:cstheme="minorHAnsi"/>
        </w:rPr>
        <w:t xml:space="preserve">Si bien se han evidenciado resultados concretos en la prevención y control </w:t>
      </w:r>
      <w:r w:rsidR="00AC4ED5">
        <w:rPr>
          <w:rFonts w:cstheme="minorHAnsi"/>
        </w:rPr>
        <w:t>de</w:t>
      </w:r>
      <w:r w:rsidR="00AC4ED5" w:rsidRPr="00E37BAA">
        <w:rPr>
          <w:rFonts w:cstheme="minorHAnsi"/>
        </w:rPr>
        <w:t xml:space="preserve"> </w:t>
      </w:r>
      <w:r w:rsidRPr="00E37BAA">
        <w:rPr>
          <w:rFonts w:cstheme="minorHAnsi"/>
        </w:rPr>
        <w:t xml:space="preserve">los factores de riesgo que inciden en el </w:t>
      </w:r>
      <w:r w:rsidR="003C6BFF" w:rsidRPr="00E37BAA">
        <w:rPr>
          <w:rFonts w:cstheme="minorHAnsi"/>
        </w:rPr>
        <w:t>homicidio, las lesiones personales y factores asociados como las riñas</w:t>
      </w:r>
      <w:r w:rsidRPr="00E37BAA">
        <w:rPr>
          <w:rFonts w:cstheme="minorHAnsi"/>
        </w:rPr>
        <w:t xml:space="preserve">, es fundamental continuar con los esfuerzos para </w:t>
      </w:r>
      <w:r w:rsidR="00AC4ED5">
        <w:rPr>
          <w:rFonts w:cstheme="minorHAnsi"/>
        </w:rPr>
        <w:t xml:space="preserve">mantener </w:t>
      </w:r>
      <w:r w:rsidRPr="00E37BAA">
        <w:rPr>
          <w:rFonts w:cstheme="minorHAnsi"/>
        </w:rPr>
        <w:t xml:space="preserve">las tendencias </w:t>
      </w:r>
      <w:r w:rsidR="00AC4ED5">
        <w:rPr>
          <w:rFonts w:cstheme="minorHAnsi"/>
        </w:rPr>
        <w:t>de</w:t>
      </w:r>
      <w:r w:rsidR="00AC4ED5" w:rsidRPr="00E37BAA">
        <w:rPr>
          <w:rFonts w:cstheme="minorHAnsi"/>
        </w:rPr>
        <w:t xml:space="preserve"> </w:t>
      </w:r>
      <w:r w:rsidRPr="00E37BAA">
        <w:rPr>
          <w:rFonts w:cstheme="minorHAnsi"/>
        </w:rPr>
        <w:t>reducción. Cabe resaltar nuevamente, que el abordaje desde esta Secretaría para enfrentar</w:t>
      </w:r>
      <w:r w:rsidR="003C6BFF" w:rsidRPr="00E37BAA">
        <w:rPr>
          <w:rFonts w:cstheme="minorHAnsi"/>
        </w:rPr>
        <w:t xml:space="preserve"> los delitos mencionados </w:t>
      </w:r>
      <w:r w:rsidR="009C6F92" w:rsidRPr="00E37BAA">
        <w:rPr>
          <w:rFonts w:cstheme="minorHAnsi"/>
        </w:rPr>
        <w:t>anteriormente</w:t>
      </w:r>
      <w:r w:rsidRPr="00E37BAA">
        <w:rPr>
          <w:rFonts w:cstheme="minorHAnsi"/>
        </w:rPr>
        <w:t xml:space="preserve"> es de naturaleza integral desde los programas, estrategias y acciones diseñados y expuestos en el PISCJ y que trasciende a la arquitectura institucional de la entidad</w:t>
      </w:r>
      <w:r w:rsidR="00DE3603">
        <w:rPr>
          <w:rFonts w:cstheme="minorHAnsi"/>
        </w:rPr>
        <w:t>, según lo expuesto anteriormente en la introducción</w:t>
      </w:r>
      <w:r w:rsidRPr="00E37BAA">
        <w:rPr>
          <w:rFonts w:cstheme="minorHAnsi"/>
        </w:rPr>
        <w:t xml:space="preserve">. </w:t>
      </w:r>
    </w:p>
    <w:p w14:paraId="12A2B05F" w14:textId="5A2729CF" w:rsidR="000048BE" w:rsidRPr="00E37BAA" w:rsidRDefault="000048BE" w:rsidP="0063405E">
      <w:pPr>
        <w:spacing w:line="240" w:lineRule="auto"/>
        <w:jc w:val="both"/>
        <w:rPr>
          <w:rFonts w:cstheme="minorHAnsi"/>
        </w:rPr>
      </w:pPr>
      <w:r w:rsidRPr="00E37BAA">
        <w:rPr>
          <w:rFonts w:cstheme="minorHAnsi"/>
        </w:rPr>
        <w:t xml:space="preserve">Teniendo en cuenta lo anterior, se identifican los siguientes delitos </w:t>
      </w:r>
      <w:r w:rsidR="00DE3603">
        <w:rPr>
          <w:rFonts w:cstheme="minorHAnsi"/>
        </w:rPr>
        <w:t xml:space="preserve">y factores asociados </w:t>
      </w:r>
      <w:r w:rsidRPr="00E37BAA">
        <w:rPr>
          <w:rFonts w:cstheme="minorHAnsi"/>
        </w:rPr>
        <w:t xml:space="preserve">que </w:t>
      </w:r>
      <w:r w:rsidR="00815A31" w:rsidRPr="00E37BAA">
        <w:rPr>
          <w:rFonts w:cstheme="minorHAnsi"/>
        </w:rPr>
        <w:t>están relacionados entre sí</w:t>
      </w:r>
      <w:r w:rsidR="00DE3603">
        <w:rPr>
          <w:rFonts w:cstheme="minorHAnsi"/>
        </w:rPr>
        <w:t>:</w:t>
      </w:r>
      <w:r w:rsidR="00815A31" w:rsidRPr="00E37BAA">
        <w:rPr>
          <w:rFonts w:cstheme="minorHAnsi"/>
        </w:rPr>
        <w:t xml:space="preserve"> </w:t>
      </w:r>
    </w:p>
    <w:p w14:paraId="0235B22C" w14:textId="6264DF46" w:rsidR="000048BE" w:rsidRPr="00E37BAA" w:rsidRDefault="000048BE" w:rsidP="0063405E">
      <w:pPr>
        <w:pStyle w:val="Prrafodelista"/>
        <w:numPr>
          <w:ilvl w:val="0"/>
          <w:numId w:val="17"/>
        </w:numPr>
        <w:spacing w:line="240" w:lineRule="auto"/>
        <w:jc w:val="both"/>
        <w:rPr>
          <w:rFonts w:cstheme="minorHAnsi"/>
        </w:rPr>
      </w:pPr>
      <w:r w:rsidRPr="002E171F">
        <w:rPr>
          <w:rFonts w:cstheme="minorHAnsi"/>
          <w:u w:val="single"/>
        </w:rPr>
        <w:t>Homicidio:</w:t>
      </w:r>
      <w:r w:rsidRPr="00E37BAA">
        <w:rPr>
          <w:rFonts w:cstheme="minorHAnsi"/>
        </w:rPr>
        <w:t xml:space="preserve"> De acuerdo con el Plan Distrital de Desarrollo</w:t>
      </w:r>
      <w:r w:rsidR="00491F72">
        <w:rPr>
          <w:rFonts w:cstheme="minorHAnsi"/>
        </w:rPr>
        <w:t xml:space="preserve"> “Bogotá Mejor para Todos”</w:t>
      </w:r>
      <w:r w:rsidRPr="00E37BAA">
        <w:rPr>
          <w:rFonts w:cstheme="minorHAnsi"/>
        </w:rPr>
        <w:t xml:space="preserve">, la línea base que se tiene en cuenta para medir el cumplimiento de las metas frente a este delito, es una tasa de 17,4 homicidios por cada 100.000 habitantes. </w:t>
      </w:r>
      <w:r w:rsidR="003C6BFF" w:rsidRPr="00E37BAA">
        <w:rPr>
          <w:rFonts w:cstheme="minorHAnsi"/>
        </w:rPr>
        <w:t>Sin embargo, para el enfoque de este documento, la problemática es sostener las acciones pertinentes para mantener la tendencia en la reducción del número de casos de est</w:t>
      </w:r>
      <w:r w:rsidR="009C6F92" w:rsidRPr="00E37BAA">
        <w:rPr>
          <w:rFonts w:cstheme="minorHAnsi"/>
        </w:rPr>
        <w:t>e</w:t>
      </w:r>
      <w:r w:rsidR="003C6BFF" w:rsidRPr="00E37BAA">
        <w:rPr>
          <w:rFonts w:cstheme="minorHAnsi"/>
        </w:rPr>
        <w:t xml:space="preserve"> delito sostenidamente en el tiempo</w:t>
      </w:r>
      <w:r w:rsidR="0098307F">
        <w:rPr>
          <w:rFonts w:cstheme="minorHAnsi"/>
        </w:rPr>
        <w:t xml:space="preserve"> y sus factores de riesgo. </w:t>
      </w:r>
      <w:r w:rsidR="003C6BFF" w:rsidRPr="00E37BAA">
        <w:rPr>
          <w:rFonts w:cstheme="minorHAnsi"/>
        </w:rPr>
        <w:t xml:space="preserve"> </w:t>
      </w:r>
    </w:p>
    <w:p w14:paraId="08298738" w14:textId="6C8E91BE" w:rsidR="00296C8F" w:rsidRPr="008B0CF1" w:rsidRDefault="003C6BFF" w:rsidP="0063405E">
      <w:pPr>
        <w:pStyle w:val="Prrafodelista"/>
        <w:numPr>
          <w:ilvl w:val="0"/>
          <w:numId w:val="17"/>
        </w:numPr>
        <w:spacing w:line="240" w:lineRule="auto"/>
        <w:jc w:val="both"/>
        <w:rPr>
          <w:rFonts w:cstheme="minorHAnsi"/>
          <w:color w:val="FF0000"/>
        </w:rPr>
      </w:pPr>
      <w:r w:rsidRPr="002E171F">
        <w:rPr>
          <w:rFonts w:cstheme="minorHAnsi"/>
          <w:u w:val="single"/>
        </w:rPr>
        <w:t>Lesiones Personales</w:t>
      </w:r>
      <w:r w:rsidR="000048BE" w:rsidRPr="002E171F">
        <w:rPr>
          <w:rFonts w:cstheme="minorHAnsi"/>
          <w:u w:val="single"/>
        </w:rPr>
        <w:t>:</w:t>
      </w:r>
      <w:r w:rsidR="000048BE" w:rsidRPr="00E37BAA">
        <w:rPr>
          <w:rFonts w:cstheme="minorHAnsi"/>
        </w:rPr>
        <w:t xml:space="preserve"> </w:t>
      </w:r>
      <w:r w:rsidR="00456F71" w:rsidRPr="00E37BAA">
        <w:rPr>
          <w:rFonts w:cstheme="minorHAnsi"/>
        </w:rPr>
        <w:t xml:space="preserve">De acuerdo con el Plan Distrital de Desarrollo, la línea base que se tiene en cuenta para medir el cumplimiento de las metas frente a este delito, es una tasa de </w:t>
      </w:r>
      <w:r w:rsidR="00296C8F" w:rsidRPr="002D7438">
        <w:rPr>
          <w:rFonts w:cstheme="minorHAnsi"/>
          <w:color w:val="000000" w:themeColor="text1"/>
        </w:rPr>
        <w:t>169.2</w:t>
      </w:r>
      <w:r w:rsidR="00456F71" w:rsidRPr="002D7438">
        <w:rPr>
          <w:rFonts w:cstheme="minorHAnsi"/>
          <w:color w:val="000000" w:themeColor="text1"/>
        </w:rPr>
        <w:t xml:space="preserve"> homicidios por cada 100.000 habitantes. </w:t>
      </w:r>
      <w:r w:rsidR="00296C8F" w:rsidRPr="002D7438">
        <w:rPr>
          <w:rFonts w:cstheme="minorHAnsi"/>
          <w:color w:val="000000" w:themeColor="text1"/>
        </w:rPr>
        <w:t>Debido a los cambios metodológicos</w:t>
      </w:r>
      <w:r w:rsidR="0035030B">
        <w:rPr>
          <w:rFonts w:cstheme="minorHAnsi"/>
          <w:color w:val="000000" w:themeColor="text1"/>
        </w:rPr>
        <w:t xml:space="preserve">, </w:t>
      </w:r>
      <w:r w:rsidR="00296C8F" w:rsidRPr="002D7438">
        <w:rPr>
          <w:rFonts w:cstheme="minorHAnsi"/>
          <w:color w:val="000000" w:themeColor="text1"/>
        </w:rPr>
        <w:t>que se explicaran más adelante</w:t>
      </w:r>
      <w:r w:rsidR="0035030B">
        <w:rPr>
          <w:rFonts w:cstheme="minorHAnsi"/>
          <w:color w:val="000000" w:themeColor="text1"/>
        </w:rPr>
        <w:t>,</w:t>
      </w:r>
      <w:r w:rsidR="00296C8F" w:rsidRPr="002D7438">
        <w:rPr>
          <w:rFonts w:cstheme="minorHAnsi"/>
          <w:color w:val="000000" w:themeColor="text1"/>
        </w:rPr>
        <w:t xml:space="preserve"> no se puede comparar este indicador a través del tiempo, por </w:t>
      </w:r>
      <w:r w:rsidR="002D7438" w:rsidRPr="002D7438">
        <w:rPr>
          <w:rFonts w:cstheme="minorHAnsi"/>
          <w:color w:val="000000" w:themeColor="text1"/>
        </w:rPr>
        <w:t>tanto,</w:t>
      </w:r>
      <w:r w:rsidR="00296C8F" w:rsidRPr="002D7438">
        <w:rPr>
          <w:rFonts w:cstheme="minorHAnsi"/>
          <w:color w:val="000000" w:themeColor="text1"/>
        </w:rPr>
        <w:t xml:space="preserve"> la línea base no es válida.</w:t>
      </w:r>
      <w:r w:rsidR="00427A65" w:rsidRPr="002D7438">
        <w:rPr>
          <w:rFonts w:cstheme="minorHAnsi"/>
          <w:color w:val="000000" w:themeColor="text1"/>
        </w:rPr>
        <w:t xml:space="preserve"> Sin embargo, si </w:t>
      </w:r>
      <w:r w:rsidR="00427A65">
        <w:rPr>
          <w:rFonts w:cstheme="minorHAnsi"/>
        </w:rPr>
        <w:t xml:space="preserve">se </w:t>
      </w:r>
      <w:r w:rsidR="0035030B">
        <w:rPr>
          <w:rFonts w:cstheme="minorHAnsi"/>
        </w:rPr>
        <w:t>tiene en cuenta la medición de los años</w:t>
      </w:r>
      <w:r w:rsidR="00427A65">
        <w:rPr>
          <w:rFonts w:cstheme="minorHAnsi"/>
        </w:rPr>
        <w:t xml:space="preserve"> 2018 a 2019, </w:t>
      </w:r>
      <w:r w:rsidR="00C40F3A">
        <w:rPr>
          <w:rFonts w:cstheme="minorHAnsi"/>
        </w:rPr>
        <w:t xml:space="preserve">periodos comparables en términos metodológicos, </w:t>
      </w:r>
      <w:r w:rsidR="00427A65">
        <w:rPr>
          <w:rFonts w:cstheme="minorHAnsi"/>
        </w:rPr>
        <w:t xml:space="preserve">se presenta una reducción cercana al 20% en la ocurrencia de este delito a nivel </w:t>
      </w:r>
      <w:r w:rsidR="0035030B">
        <w:rPr>
          <w:rFonts w:cstheme="minorHAnsi"/>
        </w:rPr>
        <w:t>D</w:t>
      </w:r>
      <w:r w:rsidR="00427A65">
        <w:rPr>
          <w:rFonts w:cstheme="minorHAnsi"/>
        </w:rPr>
        <w:t xml:space="preserve">istrital. Igual </w:t>
      </w:r>
      <w:r w:rsidR="00C40F3A">
        <w:rPr>
          <w:rFonts w:cstheme="minorHAnsi"/>
        </w:rPr>
        <w:t xml:space="preserve">que en el caso del homicidio, la problemática en torno a la reducción de las lesiones </w:t>
      </w:r>
      <w:r w:rsidR="00DE3603">
        <w:rPr>
          <w:rFonts w:cstheme="minorHAnsi"/>
        </w:rPr>
        <w:t>personales</w:t>
      </w:r>
      <w:r w:rsidR="00C40F3A">
        <w:rPr>
          <w:rFonts w:cstheme="minorHAnsi"/>
        </w:rPr>
        <w:t xml:space="preserve"> consiste en mantener las acciones que han incidido en su comportamiento.</w:t>
      </w:r>
    </w:p>
    <w:p w14:paraId="03764CFB" w14:textId="77777777" w:rsidR="008B0CF1" w:rsidRPr="008B0CF1" w:rsidRDefault="008B0CF1" w:rsidP="0063405E">
      <w:pPr>
        <w:pStyle w:val="Prrafodelista"/>
        <w:spacing w:line="240" w:lineRule="auto"/>
        <w:ind w:left="360"/>
        <w:jc w:val="both"/>
        <w:rPr>
          <w:rFonts w:cstheme="minorHAnsi"/>
          <w:color w:val="FF0000"/>
        </w:rPr>
      </w:pPr>
    </w:p>
    <w:p w14:paraId="3A7AB76F" w14:textId="50493CDB" w:rsidR="008B0CF1" w:rsidRPr="00233BF9" w:rsidRDefault="003C6BFF" w:rsidP="0063405E">
      <w:pPr>
        <w:pStyle w:val="Prrafodelista"/>
        <w:numPr>
          <w:ilvl w:val="0"/>
          <w:numId w:val="17"/>
        </w:numPr>
        <w:spacing w:line="240" w:lineRule="auto"/>
        <w:jc w:val="both"/>
        <w:rPr>
          <w:rFonts w:cstheme="minorHAnsi"/>
        </w:rPr>
      </w:pPr>
      <w:r w:rsidRPr="002E171F">
        <w:rPr>
          <w:rFonts w:cstheme="minorHAnsi"/>
          <w:u w:val="single"/>
        </w:rPr>
        <w:t>Riñas</w:t>
      </w:r>
      <w:r w:rsidR="0098307F" w:rsidRPr="002E171F">
        <w:rPr>
          <w:rFonts w:cstheme="minorHAnsi"/>
          <w:u w:val="single"/>
        </w:rPr>
        <w:t xml:space="preserve"> y </w:t>
      </w:r>
      <w:r w:rsidR="00B133E2" w:rsidRPr="002E171F">
        <w:rPr>
          <w:rFonts w:cstheme="minorHAnsi"/>
          <w:u w:val="single"/>
        </w:rPr>
        <w:t>otros factores de riesgo</w:t>
      </w:r>
      <w:r w:rsidR="000048BE" w:rsidRPr="002E171F">
        <w:rPr>
          <w:rFonts w:cstheme="minorHAnsi"/>
          <w:u w:val="single"/>
        </w:rPr>
        <w:t>:</w:t>
      </w:r>
      <w:r w:rsidR="000048BE" w:rsidRPr="00E37BAA">
        <w:rPr>
          <w:rFonts w:cstheme="minorHAnsi"/>
        </w:rPr>
        <w:t xml:space="preserve"> </w:t>
      </w:r>
      <w:r w:rsidR="002D7438">
        <w:rPr>
          <w:rFonts w:cstheme="minorHAnsi"/>
        </w:rPr>
        <w:t xml:space="preserve">La </w:t>
      </w:r>
      <w:r w:rsidR="00427A65" w:rsidRPr="002D7438">
        <w:rPr>
          <w:rFonts w:cstheme="minorHAnsi"/>
        </w:rPr>
        <w:t>medición de riñas se hace a través de la Línea NUSE 123</w:t>
      </w:r>
      <w:r w:rsidR="00D346F8" w:rsidRPr="002D7438">
        <w:rPr>
          <w:rFonts w:cstheme="minorHAnsi"/>
        </w:rPr>
        <w:t>, con el número de llamadas de la ciudadanía reportando la ocurrencia de estas</w:t>
      </w:r>
      <w:r w:rsidR="00427A65" w:rsidRPr="002D7438">
        <w:rPr>
          <w:rFonts w:cstheme="minorHAnsi"/>
        </w:rPr>
        <w:t xml:space="preserve">. </w:t>
      </w:r>
      <w:r w:rsidR="00C40F3A" w:rsidRPr="002D7438">
        <w:rPr>
          <w:rFonts w:cstheme="minorHAnsi"/>
        </w:rPr>
        <w:t>Durante</w:t>
      </w:r>
      <w:r w:rsidR="00427A65" w:rsidRPr="002D7438">
        <w:rPr>
          <w:rFonts w:cstheme="minorHAnsi"/>
        </w:rPr>
        <w:t xml:space="preserve"> </w:t>
      </w:r>
      <w:r w:rsidR="00C40F3A" w:rsidRPr="002D7438">
        <w:rPr>
          <w:rFonts w:cstheme="minorHAnsi"/>
        </w:rPr>
        <w:t xml:space="preserve">el curso de la presente Administración, </w:t>
      </w:r>
      <w:r w:rsidR="00D346F8" w:rsidRPr="002D7438">
        <w:rPr>
          <w:rFonts w:cstheme="minorHAnsi"/>
        </w:rPr>
        <w:t xml:space="preserve">el número de riñas reportadas se ha mantenido relativamente </w:t>
      </w:r>
      <w:r w:rsidR="00D346F8" w:rsidRPr="002D7438">
        <w:rPr>
          <w:rFonts w:cstheme="minorHAnsi"/>
        </w:rPr>
        <w:lastRenderedPageBreak/>
        <w:t xml:space="preserve">constante, fluctuando entre las 48 mil y las 51 mil. En la medida en que se ha fortalecido el C4, la recepción de llamadas con reportes de este tipo también se ha visto </w:t>
      </w:r>
      <w:r w:rsidR="00DE3603">
        <w:rPr>
          <w:rFonts w:cstheme="minorHAnsi"/>
        </w:rPr>
        <w:t>aumentada.</w:t>
      </w:r>
      <w:r w:rsidR="00D346F8" w:rsidRPr="002D7438">
        <w:rPr>
          <w:rFonts w:cstheme="minorHAnsi"/>
        </w:rPr>
        <w:t xml:space="preserve"> </w:t>
      </w:r>
    </w:p>
    <w:p w14:paraId="145275B7" w14:textId="77777777" w:rsidR="008B0CF1" w:rsidRPr="008B0CF1" w:rsidRDefault="008B0CF1" w:rsidP="0063405E">
      <w:pPr>
        <w:pStyle w:val="Prrafodelista"/>
        <w:spacing w:line="240" w:lineRule="auto"/>
        <w:ind w:left="360"/>
        <w:jc w:val="both"/>
        <w:rPr>
          <w:rFonts w:cstheme="minorHAnsi"/>
        </w:rPr>
      </w:pPr>
    </w:p>
    <w:p w14:paraId="5068BE09" w14:textId="5874F8E4" w:rsidR="00DE3603" w:rsidRDefault="007D5790" w:rsidP="0063405E">
      <w:pPr>
        <w:pStyle w:val="Prrafodelista"/>
        <w:numPr>
          <w:ilvl w:val="0"/>
          <w:numId w:val="23"/>
        </w:numPr>
        <w:spacing w:line="240" w:lineRule="auto"/>
        <w:jc w:val="both"/>
        <w:rPr>
          <w:rFonts w:cstheme="minorHAnsi"/>
          <w:b/>
        </w:rPr>
      </w:pPr>
      <w:r w:rsidRPr="008B0CF1">
        <w:rPr>
          <w:rFonts w:cstheme="minorHAnsi"/>
          <w:b/>
        </w:rPr>
        <w:t>Evolución del problema</w:t>
      </w:r>
    </w:p>
    <w:p w14:paraId="1A7D1EFE" w14:textId="77777777" w:rsidR="00DE3603" w:rsidRPr="002E171F" w:rsidRDefault="00DE3603" w:rsidP="0063405E">
      <w:pPr>
        <w:pStyle w:val="Prrafodelista"/>
        <w:spacing w:line="240" w:lineRule="auto"/>
        <w:jc w:val="both"/>
        <w:rPr>
          <w:rFonts w:cstheme="minorHAnsi"/>
        </w:rPr>
      </w:pPr>
    </w:p>
    <w:p w14:paraId="41CBE7E4" w14:textId="49A1B94E" w:rsidR="009C6F92" w:rsidRPr="002E171F" w:rsidRDefault="000048BE" w:rsidP="0063405E">
      <w:pPr>
        <w:pStyle w:val="Prrafodelista"/>
        <w:numPr>
          <w:ilvl w:val="0"/>
          <w:numId w:val="21"/>
        </w:numPr>
        <w:spacing w:after="0" w:line="240" w:lineRule="auto"/>
        <w:jc w:val="both"/>
        <w:rPr>
          <w:rFonts w:cstheme="minorHAnsi"/>
          <w:u w:val="single"/>
        </w:rPr>
      </w:pPr>
      <w:r w:rsidRPr="002E171F">
        <w:rPr>
          <w:rFonts w:cstheme="minorHAnsi"/>
          <w:u w:val="single"/>
        </w:rPr>
        <w:t>Homicidio:</w:t>
      </w:r>
      <w:r w:rsidR="002E171F" w:rsidRPr="002E171F">
        <w:rPr>
          <w:rFonts w:cstheme="minorHAnsi"/>
        </w:rPr>
        <w:t xml:space="preserve"> </w:t>
      </w:r>
      <w:r w:rsidR="009C6F92" w:rsidRPr="002E171F">
        <w:rPr>
          <w:rFonts w:cstheme="minorHAnsi"/>
        </w:rPr>
        <w:t xml:space="preserve">A diciembre de 2018 Bogotá experimentó una reducción en el número de homicidios. Desde 2010 y hasta 2018, según </w:t>
      </w:r>
      <w:r w:rsidR="00491F72" w:rsidRPr="002E171F">
        <w:rPr>
          <w:rFonts w:cstheme="minorHAnsi"/>
        </w:rPr>
        <w:t xml:space="preserve">el </w:t>
      </w:r>
      <w:r w:rsidR="009C6F92" w:rsidRPr="002E171F">
        <w:rPr>
          <w:rFonts w:cstheme="minorHAnsi"/>
        </w:rPr>
        <w:t xml:space="preserve">Instituto Nacional de Medicina Legal y Ciencias Forenses, la tasa de homicidios por cada cien mil habitantes cayó de 23.7 a 13.3, lo que equivale a una reducción del 44% en tan solo 8 años. Adicionalmente, esta cifra se registra como una de las menores en los últimos 40 años (ver figura 1). A septiembre de 2019 y como lo muestra la figura </w:t>
      </w:r>
      <w:r w:rsidR="00296C8F" w:rsidRPr="002E171F">
        <w:rPr>
          <w:rFonts w:cstheme="minorHAnsi"/>
        </w:rPr>
        <w:t>2</w:t>
      </w:r>
      <w:r w:rsidR="009C6F92" w:rsidRPr="002E171F">
        <w:rPr>
          <w:rFonts w:cstheme="minorHAnsi"/>
        </w:rPr>
        <w:t xml:space="preserve">, se registran 736 homicidios. Para alcanzar la meta propuesta en el Plan </w:t>
      </w:r>
      <w:r w:rsidR="0035030B">
        <w:rPr>
          <w:rFonts w:cstheme="minorHAnsi"/>
        </w:rPr>
        <w:t xml:space="preserve">Distrital </w:t>
      </w:r>
      <w:r w:rsidR="009C6F92" w:rsidRPr="002E171F">
        <w:rPr>
          <w:rFonts w:cstheme="minorHAnsi"/>
        </w:rPr>
        <w:t xml:space="preserve">de Desarrollo, como máximo </w:t>
      </w:r>
      <w:r w:rsidR="00427A65" w:rsidRPr="002E171F">
        <w:rPr>
          <w:rFonts w:cstheme="minorHAnsi"/>
        </w:rPr>
        <w:t xml:space="preserve">se deben presentar </w:t>
      </w:r>
      <w:r w:rsidR="009C6F92" w:rsidRPr="002E171F">
        <w:rPr>
          <w:rFonts w:cstheme="minorHAnsi"/>
        </w:rPr>
        <w:t xml:space="preserve">258 casos adicionales en los últimos 3 meses de la </w:t>
      </w:r>
      <w:r w:rsidR="0035030B">
        <w:rPr>
          <w:rFonts w:cstheme="minorHAnsi"/>
        </w:rPr>
        <w:t>A</w:t>
      </w:r>
      <w:r w:rsidR="009C6F92" w:rsidRPr="002E171F">
        <w:rPr>
          <w:rFonts w:cstheme="minorHAnsi"/>
        </w:rPr>
        <w:t>dministración.</w:t>
      </w:r>
    </w:p>
    <w:p w14:paraId="468BE75A" w14:textId="4B6FF286" w:rsidR="009C6F92" w:rsidRPr="00E37BAA" w:rsidRDefault="009C6F92" w:rsidP="0063405E">
      <w:pPr>
        <w:spacing w:line="240" w:lineRule="auto"/>
        <w:ind w:left="708"/>
        <w:jc w:val="both"/>
        <w:rPr>
          <w:rFonts w:cstheme="minorHAnsi"/>
          <w:lang w:val="es-ES"/>
        </w:rPr>
      </w:pPr>
      <w:r w:rsidRPr="00E37BAA">
        <w:rPr>
          <w:rFonts w:cstheme="minorHAnsi"/>
          <w:lang w:val="es-ES"/>
        </w:rPr>
        <w:t xml:space="preserve">La mayoría de las víctimas por homicidios son hombres, la relación históricamente es de 10:1, es decir, por cada 10 homicidios de hombres hay uno de mujer. Con respecto a las edades, se encuentra que el 80% de las víctimas de homicidio están entre los 14 y 39 </w:t>
      </w:r>
      <w:r w:rsidR="007261F6" w:rsidRPr="00E37BAA">
        <w:rPr>
          <w:rFonts w:cstheme="minorHAnsi"/>
          <w:lang w:val="es-ES"/>
        </w:rPr>
        <w:t>años</w:t>
      </w:r>
      <w:r w:rsidRPr="00E37BAA">
        <w:rPr>
          <w:rFonts w:cstheme="minorHAnsi"/>
          <w:lang w:val="es-ES"/>
        </w:rPr>
        <w:t>. En cuanto al componente horario, 70% de los hechos ocurren en las horas de la noche (entre las 6pm y las 6 am del día siguiente), los días de la semana con mayor número de casos, aproximadamente el 56% del total, son los viernes, sábados y domingos.</w:t>
      </w:r>
    </w:p>
    <w:p w14:paraId="00373327" w14:textId="24F48896" w:rsidR="009C6F92" w:rsidRPr="00E37BAA" w:rsidRDefault="009C6F92" w:rsidP="0063405E">
      <w:pPr>
        <w:spacing w:line="240" w:lineRule="auto"/>
        <w:ind w:left="708"/>
        <w:jc w:val="both"/>
        <w:rPr>
          <w:rFonts w:cstheme="minorHAnsi"/>
          <w:lang w:val="es-ES"/>
        </w:rPr>
      </w:pPr>
      <w:r w:rsidRPr="00E37BAA">
        <w:rPr>
          <w:rFonts w:cstheme="minorHAnsi"/>
          <w:lang w:val="es-ES"/>
        </w:rPr>
        <w:t xml:space="preserve">En cuanto a las circunstancias de los delitos, de acuerdo con la información de la Policía Nacional la mayoría están asociados con riñas </w:t>
      </w:r>
      <w:r w:rsidRPr="00077B4D">
        <w:rPr>
          <w:rFonts w:cstheme="minorHAnsi"/>
          <w:lang w:val="es-ES"/>
        </w:rPr>
        <w:t>(70% en promedio).</w:t>
      </w:r>
      <w:r w:rsidRPr="00E37BAA">
        <w:rPr>
          <w:rFonts w:cstheme="minorHAnsi"/>
          <w:lang w:val="es-ES"/>
        </w:rPr>
        <w:t xml:space="preserve"> En su mayoría las armas usadas son de fuego y corto punzantes</w:t>
      </w:r>
      <w:r w:rsidR="0035030B">
        <w:rPr>
          <w:rFonts w:cstheme="minorHAnsi"/>
          <w:lang w:val="es-ES"/>
        </w:rPr>
        <w:t>,</w:t>
      </w:r>
      <w:r w:rsidRPr="00E37BAA">
        <w:rPr>
          <w:rFonts w:cstheme="minorHAnsi"/>
          <w:lang w:val="es-ES"/>
        </w:rPr>
        <w:t xml:space="preserve"> </w:t>
      </w:r>
      <w:r w:rsidR="0035030B">
        <w:rPr>
          <w:rFonts w:cstheme="minorHAnsi"/>
          <w:lang w:val="es-ES"/>
        </w:rPr>
        <w:t>v</w:t>
      </w:r>
      <w:r w:rsidRPr="00E37BAA">
        <w:rPr>
          <w:rFonts w:cstheme="minorHAnsi"/>
          <w:lang w:val="es-ES"/>
        </w:rPr>
        <w:t>ale la pena señalar que la participación del arma blanca ha crecido en los últimos 9 años.</w:t>
      </w:r>
    </w:p>
    <w:p w14:paraId="4CA01ABD" w14:textId="1023C98B" w:rsidR="007261F6" w:rsidRPr="007862D4" w:rsidRDefault="009C6F92" w:rsidP="007862D4">
      <w:pPr>
        <w:spacing w:line="240" w:lineRule="auto"/>
        <w:ind w:left="708"/>
        <w:jc w:val="both"/>
        <w:rPr>
          <w:rFonts w:cstheme="minorHAnsi"/>
          <w:lang w:val="es-ES"/>
        </w:rPr>
      </w:pPr>
      <w:r w:rsidRPr="00E37BAA">
        <w:rPr>
          <w:rFonts w:cstheme="minorHAnsi"/>
          <w:lang w:val="es-ES"/>
        </w:rPr>
        <w:t>En cuanto a distribución geográfica, como se puede ver a continuación históricamente se encuentra más concentrada en las localidades de Ciudad Bolívar, Kennedy, Bosa y Suba</w:t>
      </w:r>
      <w:r w:rsidR="00D346F8">
        <w:rPr>
          <w:rFonts w:cstheme="minorHAnsi"/>
          <w:lang w:val="es-ES"/>
        </w:rPr>
        <w:t>,</w:t>
      </w:r>
      <w:r w:rsidRPr="00E37BAA">
        <w:rPr>
          <w:rFonts w:cstheme="minorHAnsi"/>
          <w:lang w:val="es-ES"/>
        </w:rPr>
        <w:t xml:space="preserve"> que en promedio reúnen el 50% del total de casos. Sin embargo, no se debe olvidar que estas 4 localidades concentran el 45% de la población total de la población de la ciudad, por tanto, al realizar el análisis de tasas de homicidios por localidad, estas no son las localidades que lideran el ranking.</w:t>
      </w:r>
    </w:p>
    <w:p w14:paraId="2A00BB70" w14:textId="49C43043" w:rsidR="009C6F92" w:rsidRPr="00E37BAA" w:rsidRDefault="009C6F92" w:rsidP="0063405E">
      <w:pPr>
        <w:spacing w:line="240" w:lineRule="auto"/>
        <w:jc w:val="center"/>
        <w:rPr>
          <w:rFonts w:cstheme="minorHAnsi"/>
          <w:b/>
          <w:lang w:val="es-ES"/>
        </w:rPr>
      </w:pPr>
      <w:r w:rsidRPr="00E37BAA">
        <w:rPr>
          <w:rFonts w:cstheme="minorHAnsi"/>
          <w:b/>
          <w:lang w:val="es-ES"/>
        </w:rPr>
        <w:t>Figura</w:t>
      </w:r>
      <w:r w:rsidR="007862D4">
        <w:rPr>
          <w:rFonts w:cstheme="minorHAnsi"/>
          <w:b/>
          <w:lang w:val="es-ES"/>
        </w:rPr>
        <w:t xml:space="preserve"> #</w:t>
      </w:r>
      <w:bookmarkStart w:id="1" w:name="_GoBack"/>
      <w:bookmarkEnd w:id="1"/>
      <w:r w:rsidRPr="00E37BAA">
        <w:rPr>
          <w:rFonts w:cstheme="minorHAnsi"/>
          <w:b/>
          <w:lang w:val="es-ES"/>
        </w:rPr>
        <w:t xml:space="preserve"> 1. Tasa de homicidios por cada 100.000 habitantes 1975-2018</w:t>
      </w:r>
    </w:p>
    <w:p w14:paraId="792372BA" w14:textId="77777777" w:rsidR="009C6F92" w:rsidRPr="00E37BAA" w:rsidRDefault="009C6F92" w:rsidP="0063405E">
      <w:pPr>
        <w:spacing w:line="240" w:lineRule="auto"/>
        <w:jc w:val="both"/>
        <w:rPr>
          <w:rFonts w:cstheme="minorHAnsi"/>
        </w:rPr>
      </w:pPr>
      <w:r w:rsidRPr="00E37BAA">
        <w:rPr>
          <w:rFonts w:cstheme="minorHAnsi"/>
          <w:noProof/>
          <w:lang w:val="es-ES" w:eastAsia="es-ES"/>
        </w:rPr>
        <w:drawing>
          <wp:inline distT="0" distB="0" distL="0" distR="0" wp14:anchorId="5AC5D3E1" wp14:editId="0FE09530">
            <wp:extent cx="5553075" cy="209931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F54EDE" w14:textId="77777777" w:rsidR="009C6F92" w:rsidRPr="00E37BAA" w:rsidRDefault="009C6F92" w:rsidP="0063405E">
      <w:pPr>
        <w:spacing w:after="0" w:line="240" w:lineRule="auto"/>
        <w:jc w:val="both"/>
        <w:rPr>
          <w:rFonts w:cstheme="minorHAnsi"/>
          <w:sz w:val="16"/>
          <w:szCs w:val="16"/>
        </w:rPr>
      </w:pPr>
      <w:r w:rsidRPr="00E37BAA">
        <w:rPr>
          <w:rFonts w:cstheme="minorHAnsi"/>
          <w:b/>
          <w:sz w:val="16"/>
          <w:szCs w:val="16"/>
        </w:rPr>
        <w:t>Nota:</w:t>
      </w:r>
      <w:r w:rsidRPr="00E37BAA">
        <w:rPr>
          <w:rFonts w:cstheme="minorHAnsi"/>
          <w:sz w:val="16"/>
          <w:szCs w:val="16"/>
        </w:rPr>
        <w:t xml:space="preserve"> Serie reconstruida con base en: 1970-1989 CEASC; *Hugo Acero 1990-2000; del 2001-2009 </w:t>
      </w:r>
      <w:proofErr w:type="spellStart"/>
      <w:r w:rsidRPr="00E37BAA">
        <w:rPr>
          <w:rFonts w:cstheme="minorHAnsi"/>
          <w:sz w:val="16"/>
          <w:szCs w:val="16"/>
        </w:rPr>
        <w:t>Forensis</w:t>
      </w:r>
      <w:proofErr w:type="spellEnd"/>
      <w:r w:rsidRPr="00E37BAA">
        <w:rPr>
          <w:rFonts w:cstheme="minorHAnsi"/>
          <w:sz w:val="16"/>
          <w:szCs w:val="16"/>
        </w:rPr>
        <w:t>; 2010-2018 Medicina Legal datos crudos</w:t>
      </w:r>
    </w:p>
    <w:p w14:paraId="60DF79E1" w14:textId="77777777" w:rsidR="009C6F92" w:rsidRPr="00E37BAA" w:rsidRDefault="009C6F92" w:rsidP="0063405E">
      <w:pPr>
        <w:spacing w:after="0" w:line="240" w:lineRule="auto"/>
        <w:jc w:val="both"/>
        <w:rPr>
          <w:rFonts w:cstheme="minorHAnsi"/>
          <w:sz w:val="18"/>
        </w:rPr>
      </w:pPr>
      <w:r w:rsidRPr="00E37BAA">
        <w:rPr>
          <w:rFonts w:cstheme="minorHAnsi"/>
          <w:b/>
          <w:sz w:val="16"/>
          <w:szCs w:val="16"/>
        </w:rPr>
        <w:t>Fuente:</w:t>
      </w:r>
      <w:r w:rsidRPr="00E37BAA">
        <w:rPr>
          <w:rFonts w:cstheme="minorHAnsi"/>
          <w:sz w:val="16"/>
          <w:szCs w:val="16"/>
        </w:rPr>
        <w:t xml:space="preserve"> </w:t>
      </w:r>
      <w:r w:rsidRPr="00E37BAA">
        <w:rPr>
          <w:rFonts w:cstheme="minorHAnsi"/>
          <w:sz w:val="16"/>
          <w:szCs w:val="16"/>
          <w:lang w:val="es-ES_tradnl"/>
        </w:rPr>
        <w:t>Cálculos propios</w:t>
      </w:r>
      <w:r w:rsidRPr="00E37BAA">
        <w:rPr>
          <w:rFonts w:cstheme="minorHAnsi"/>
          <w:sz w:val="16"/>
          <w:szCs w:val="16"/>
        </w:rPr>
        <w:t xml:space="preserve"> </w:t>
      </w:r>
      <w:r w:rsidRPr="00E37BAA">
        <w:rPr>
          <w:rFonts w:cstheme="minorHAnsi"/>
          <w:sz w:val="16"/>
          <w:szCs w:val="16"/>
          <w:lang w:val="es-ES_tradnl"/>
        </w:rPr>
        <w:t>con información de</w:t>
      </w:r>
      <w:r w:rsidRPr="00E37BAA">
        <w:rPr>
          <w:rFonts w:cstheme="minorHAnsi"/>
          <w:sz w:val="16"/>
          <w:szCs w:val="16"/>
        </w:rPr>
        <w:t xml:space="preserve"> Instituto de Medicina Legal y Ciencias Forenses</w:t>
      </w:r>
      <w:r w:rsidRPr="00E37BAA">
        <w:rPr>
          <w:rFonts w:cstheme="minorHAnsi"/>
          <w:sz w:val="16"/>
          <w:szCs w:val="16"/>
          <w:lang w:val="es-ES_tradnl"/>
        </w:rPr>
        <w:t>. Elaborado por Oficina de Análisis de Información y Estudios Estratégicos, Secretaría de Seguridad, Convivencia y Justicia</w:t>
      </w:r>
      <w:r w:rsidRPr="00E37BAA">
        <w:rPr>
          <w:rFonts w:cstheme="minorHAnsi"/>
          <w:sz w:val="18"/>
        </w:rPr>
        <w:t>.</w:t>
      </w:r>
    </w:p>
    <w:p w14:paraId="7853A7C4" w14:textId="77777777" w:rsidR="009C6F92" w:rsidRPr="00E37BAA" w:rsidRDefault="009C6F92" w:rsidP="0063405E">
      <w:pPr>
        <w:spacing w:line="240" w:lineRule="auto"/>
        <w:rPr>
          <w:rFonts w:cstheme="minorHAnsi"/>
        </w:rPr>
      </w:pPr>
    </w:p>
    <w:p w14:paraId="3C581426" w14:textId="34D74E7A" w:rsidR="009C6F92" w:rsidRPr="00E37BAA" w:rsidRDefault="009C6F92" w:rsidP="0063405E">
      <w:pPr>
        <w:spacing w:line="240" w:lineRule="auto"/>
        <w:jc w:val="center"/>
        <w:rPr>
          <w:rFonts w:cstheme="minorHAnsi"/>
        </w:rPr>
      </w:pPr>
      <w:r w:rsidRPr="00E37BAA">
        <w:rPr>
          <w:rFonts w:cstheme="minorHAnsi"/>
          <w:b/>
          <w:lang w:val="es-ES"/>
        </w:rPr>
        <w:t xml:space="preserve">Figura </w:t>
      </w:r>
      <w:r w:rsidR="007862D4">
        <w:rPr>
          <w:rFonts w:cstheme="minorHAnsi"/>
          <w:b/>
          <w:lang w:val="es-ES"/>
        </w:rPr>
        <w:t xml:space="preserve"># </w:t>
      </w:r>
      <w:r w:rsidRPr="00E37BAA">
        <w:rPr>
          <w:rFonts w:cstheme="minorHAnsi"/>
          <w:b/>
          <w:lang w:val="es-ES"/>
        </w:rPr>
        <w:t>2. Homicidios 2016- septiembre 2019</w:t>
      </w:r>
    </w:p>
    <w:p w14:paraId="1A09B8B8" w14:textId="77777777" w:rsidR="009C6F92" w:rsidRPr="00E37BAA" w:rsidRDefault="009C6F92" w:rsidP="0063405E">
      <w:pPr>
        <w:spacing w:line="240" w:lineRule="auto"/>
        <w:rPr>
          <w:rFonts w:cstheme="minorHAnsi"/>
        </w:rPr>
      </w:pPr>
      <w:r w:rsidRPr="00E37BAA">
        <w:rPr>
          <w:rFonts w:cstheme="minorHAnsi"/>
          <w:noProof/>
          <w:sz w:val="16"/>
          <w:lang w:val="es-ES" w:eastAsia="es-ES"/>
        </w:rPr>
        <w:drawing>
          <wp:inline distT="0" distB="0" distL="0" distR="0" wp14:anchorId="27C0DF7F" wp14:editId="2D4ADBB0">
            <wp:extent cx="5612130" cy="2658110"/>
            <wp:effectExtent l="0" t="0" r="7620" b="8890"/>
            <wp:docPr id="13" name="Gráfico 13">
              <a:extLst xmlns:a="http://schemas.openxmlformats.org/drawingml/2006/main">
                <a:ext uri="{FF2B5EF4-FFF2-40B4-BE49-F238E27FC236}">
                  <a16:creationId xmlns:a16="http://schemas.microsoft.com/office/drawing/2014/main" id="{740A435C-2432-4582-8E49-18CBDFEE7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002631" w14:textId="77777777" w:rsidR="009C6F92" w:rsidRPr="00E37BAA" w:rsidRDefault="009C6F92" w:rsidP="0063405E">
      <w:pPr>
        <w:spacing w:line="240" w:lineRule="auto"/>
        <w:rPr>
          <w:rFonts w:cstheme="minorHAnsi"/>
        </w:rPr>
      </w:pPr>
      <w:r w:rsidRPr="00E37BAA">
        <w:rPr>
          <w:rFonts w:cstheme="minorHAnsi"/>
          <w:b/>
          <w:sz w:val="16"/>
          <w:szCs w:val="16"/>
        </w:rPr>
        <w:t>Fuente:</w:t>
      </w:r>
      <w:r w:rsidRPr="00E37BAA">
        <w:rPr>
          <w:rFonts w:cstheme="minorHAnsi"/>
          <w:sz w:val="16"/>
          <w:szCs w:val="16"/>
        </w:rPr>
        <w:t xml:space="preserve"> </w:t>
      </w:r>
      <w:r w:rsidRPr="00E37BAA">
        <w:rPr>
          <w:rFonts w:cstheme="minorHAnsi"/>
          <w:sz w:val="16"/>
          <w:szCs w:val="16"/>
          <w:lang w:val="es-ES_tradnl"/>
        </w:rPr>
        <w:t>Cálculos propios</w:t>
      </w:r>
      <w:r w:rsidRPr="00E37BAA">
        <w:rPr>
          <w:rFonts w:cstheme="minorHAnsi"/>
          <w:sz w:val="16"/>
          <w:szCs w:val="16"/>
        </w:rPr>
        <w:t xml:space="preserve"> </w:t>
      </w:r>
      <w:r w:rsidRPr="00E37BAA">
        <w:rPr>
          <w:rFonts w:cstheme="minorHAnsi"/>
          <w:sz w:val="16"/>
          <w:szCs w:val="16"/>
          <w:lang w:val="es-ES_tradnl"/>
        </w:rPr>
        <w:t>con información de con Información de SIEDCO</w:t>
      </w:r>
    </w:p>
    <w:p w14:paraId="2B98E41D" w14:textId="2C661D92" w:rsidR="00793244" w:rsidRPr="002E171F" w:rsidRDefault="00793244" w:rsidP="0063405E">
      <w:pPr>
        <w:pStyle w:val="Prrafodelista"/>
        <w:numPr>
          <w:ilvl w:val="0"/>
          <w:numId w:val="21"/>
        </w:numPr>
        <w:spacing w:line="240" w:lineRule="auto"/>
        <w:jc w:val="both"/>
        <w:rPr>
          <w:rFonts w:cstheme="minorHAnsi"/>
        </w:rPr>
      </w:pPr>
      <w:r w:rsidRPr="002E171F">
        <w:rPr>
          <w:rFonts w:cstheme="minorHAnsi"/>
          <w:u w:val="single"/>
        </w:rPr>
        <w:t>Lesiones Personales</w:t>
      </w:r>
      <w:r w:rsidR="000048BE" w:rsidRPr="002E171F">
        <w:rPr>
          <w:rFonts w:cstheme="minorHAnsi"/>
          <w:u w:val="single"/>
        </w:rPr>
        <w:t>:</w:t>
      </w:r>
      <w:r w:rsidRPr="00E37BAA">
        <w:rPr>
          <w:rFonts w:cstheme="minorHAnsi"/>
          <w:b/>
        </w:rPr>
        <w:t xml:space="preserve"> </w:t>
      </w:r>
      <w:r w:rsidRPr="002E171F">
        <w:rPr>
          <w:rFonts w:cstheme="minorHAnsi"/>
        </w:rPr>
        <w:t>En cuanto a las lesiones personales, entre los años 2012 y 2015 se presentó una tendencia creciente, con una tasa anual de crecimiento del 5%. Sin embargo, en 2016 hubo una reducción del 16,3% frente a 2015, al pasar de 13.336 denuncias por lesiones personales a</w:t>
      </w:r>
      <w:r w:rsidR="008B0CF1" w:rsidRPr="002E171F">
        <w:rPr>
          <w:rFonts w:cstheme="minorHAnsi"/>
        </w:rPr>
        <w:t xml:space="preserve"> </w:t>
      </w:r>
      <w:r w:rsidRPr="002E171F">
        <w:rPr>
          <w:rFonts w:cstheme="minorHAnsi"/>
        </w:rPr>
        <w:t>11.168. De 2016 y hasta 2019</w:t>
      </w:r>
      <w:r w:rsidRPr="00E37BAA">
        <w:rPr>
          <w:rStyle w:val="Refdenotaalpie"/>
          <w:rFonts w:cstheme="minorHAnsi"/>
        </w:rPr>
        <w:footnoteReference w:id="1"/>
      </w:r>
      <w:r w:rsidRPr="002E171F">
        <w:rPr>
          <w:rFonts w:cstheme="minorHAnsi"/>
        </w:rPr>
        <w:t>, es imposible realizar seguimiento sobre este indicador debido a cambios metodológicos en la base de datos de la Policía Nacional, que hacen que la cifra pierda comparabilidad a través del tiempo y por ende imposibilita la medición de avances en el delito.</w:t>
      </w:r>
    </w:p>
    <w:p w14:paraId="2F9F1717" w14:textId="77777777" w:rsidR="007371BB" w:rsidRDefault="007371BB" w:rsidP="0063405E">
      <w:pPr>
        <w:pStyle w:val="Prrafodelista"/>
        <w:spacing w:line="240" w:lineRule="auto"/>
        <w:jc w:val="both"/>
        <w:rPr>
          <w:rFonts w:cstheme="minorHAnsi"/>
        </w:rPr>
      </w:pPr>
    </w:p>
    <w:p w14:paraId="2373E9AE" w14:textId="674559F0" w:rsidR="00793244" w:rsidRPr="00E37BAA" w:rsidRDefault="00793244" w:rsidP="0063405E">
      <w:pPr>
        <w:pStyle w:val="Prrafodelista"/>
        <w:spacing w:line="240" w:lineRule="auto"/>
        <w:jc w:val="both"/>
        <w:rPr>
          <w:rFonts w:cstheme="minorHAnsi"/>
        </w:rPr>
      </w:pPr>
      <w:r w:rsidRPr="00E37BAA">
        <w:rPr>
          <w:rFonts w:cstheme="minorHAnsi"/>
        </w:rPr>
        <w:t>El cambio metodológico que afecta las lesiones consistió en el cargue de denuncias registradas en el Sistema Penal Oral Acusatorio</w:t>
      </w:r>
      <w:r w:rsidR="00350377">
        <w:rPr>
          <w:rFonts w:cstheme="minorHAnsi"/>
        </w:rPr>
        <w:t xml:space="preserve"> -</w:t>
      </w:r>
      <w:r w:rsidRPr="00E37BAA">
        <w:rPr>
          <w:rFonts w:cstheme="minorHAnsi"/>
        </w:rPr>
        <w:t xml:space="preserve"> SPOA</w:t>
      </w:r>
      <w:r w:rsidR="00350377">
        <w:rPr>
          <w:rFonts w:cstheme="minorHAnsi"/>
        </w:rPr>
        <w:t>-</w:t>
      </w:r>
      <w:r w:rsidRPr="00E37BAA">
        <w:rPr>
          <w:rFonts w:cstheme="minorHAnsi"/>
        </w:rPr>
        <w:t xml:space="preserve"> de la Fiscalía a SIEDCO de la Policía</w:t>
      </w:r>
      <w:r w:rsidR="0035030B">
        <w:rPr>
          <w:rFonts w:cstheme="minorHAnsi"/>
        </w:rPr>
        <w:t xml:space="preserve"> Nacional. L</w:t>
      </w:r>
      <w:r w:rsidRPr="00E37BAA">
        <w:rPr>
          <w:rFonts w:cstheme="minorHAnsi"/>
        </w:rPr>
        <w:t>a figura 4 muestra el salto en el número de denuncias durante el mes de enero de 2016, periodo en el que se inicia el proceso de integración de los registros de un sistema a otro.</w:t>
      </w:r>
    </w:p>
    <w:p w14:paraId="30D87414" w14:textId="77777777" w:rsidR="00793244" w:rsidRPr="00E37BAA" w:rsidRDefault="00793244" w:rsidP="0063405E">
      <w:pPr>
        <w:pStyle w:val="Prrafodelista"/>
        <w:spacing w:line="240" w:lineRule="auto"/>
        <w:jc w:val="both"/>
        <w:rPr>
          <w:rFonts w:cstheme="minorHAnsi"/>
        </w:rPr>
      </w:pPr>
    </w:p>
    <w:p w14:paraId="0173763B" w14:textId="52491C2C" w:rsidR="00793244" w:rsidRPr="00350377" w:rsidRDefault="00793244" w:rsidP="0063405E">
      <w:pPr>
        <w:pStyle w:val="Prrafodelista"/>
        <w:spacing w:line="240" w:lineRule="auto"/>
        <w:jc w:val="both"/>
        <w:rPr>
          <w:rFonts w:cstheme="minorHAnsi"/>
        </w:rPr>
      </w:pPr>
      <w:r w:rsidRPr="00E37BAA">
        <w:rPr>
          <w:rFonts w:cstheme="minorHAnsi"/>
        </w:rPr>
        <w:t xml:space="preserve">La figura </w:t>
      </w:r>
      <w:r w:rsidR="003375CC">
        <w:rPr>
          <w:rFonts w:cstheme="minorHAnsi"/>
        </w:rPr>
        <w:t>3</w:t>
      </w:r>
      <w:r w:rsidRPr="00E37BAA">
        <w:rPr>
          <w:rFonts w:cstheme="minorHAnsi"/>
        </w:rPr>
        <w:t xml:space="preserve"> también muestra que el número promedio de denuncias mensual se duplica en el periodo posterior al cargue de información con respecto al previo al pasar de 1000 registros a 2000.</w:t>
      </w:r>
    </w:p>
    <w:p w14:paraId="458B57D3" w14:textId="64165FC3" w:rsidR="00793244" w:rsidRPr="00E37BAA" w:rsidRDefault="00793244" w:rsidP="0063405E">
      <w:pPr>
        <w:spacing w:line="240" w:lineRule="auto"/>
        <w:jc w:val="center"/>
        <w:rPr>
          <w:rFonts w:cstheme="minorHAnsi"/>
        </w:rPr>
      </w:pPr>
      <w:r w:rsidRPr="00E37BAA">
        <w:rPr>
          <w:rFonts w:cstheme="minorHAnsi"/>
          <w:b/>
          <w:lang w:val="es-ES"/>
        </w:rPr>
        <w:t xml:space="preserve">Figura </w:t>
      </w:r>
      <w:r w:rsidR="007862D4">
        <w:rPr>
          <w:rFonts w:cstheme="minorHAnsi"/>
          <w:b/>
          <w:lang w:val="es-ES"/>
        </w:rPr>
        <w:t xml:space="preserve"># </w:t>
      </w:r>
      <w:r w:rsidRPr="00E37BAA">
        <w:rPr>
          <w:rFonts w:cstheme="minorHAnsi"/>
          <w:b/>
          <w:lang w:val="es-ES"/>
        </w:rPr>
        <w:t xml:space="preserve">3. Lesiones Personales 2010- </w:t>
      </w:r>
      <w:r w:rsidR="0098307F" w:rsidRPr="00E37BAA">
        <w:rPr>
          <w:rFonts w:cstheme="minorHAnsi"/>
          <w:b/>
          <w:lang w:val="es-ES"/>
        </w:rPr>
        <w:t>junio</w:t>
      </w:r>
      <w:r w:rsidRPr="00E37BAA">
        <w:rPr>
          <w:rFonts w:cstheme="minorHAnsi"/>
          <w:b/>
          <w:lang w:val="es-ES"/>
        </w:rPr>
        <w:t xml:space="preserve"> 2019</w:t>
      </w:r>
    </w:p>
    <w:p w14:paraId="0DB521CF" w14:textId="77777777" w:rsidR="00793244" w:rsidRPr="00E37BAA" w:rsidRDefault="00793244" w:rsidP="0063405E">
      <w:pPr>
        <w:spacing w:line="240" w:lineRule="auto"/>
        <w:jc w:val="right"/>
        <w:rPr>
          <w:rFonts w:cstheme="minorHAnsi"/>
          <w:lang w:val="es-ES"/>
        </w:rPr>
      </w:pPr>
      <w:r w:rsidRPr="00E37BAA">
        <w:rPr>
          <w:rFonts w:cstheme="minorHAnsi"/>
          <w:noProof/>
          <w:lang w:val="es-ES" w:eastAsia="es-ES"/>
        </w:rPr>
        <w:lastRenderedPageBreak/>
        <mc:AlternateContent>
          <mc:Choice Requires="wps">
            <w:drawing>
              <wp:anchor distT="0" distB="0" distL="114300" distR="114300" simplePos="0" relativeHeight="251664384" behindDoc="0" locked="0" layoutInCell="1" allowOverlap="1" wp14:anchorId="2EA69522" wp14:editId="47B3F9F1">
                <wp:simplePos x="0" y="0"/>
                <wp:positionH relativeFrom="column">
                  <wp:posOffset>3768090</wp:posOffset>
                </wp:positionH>
                <wp:positionV relativeFrom="paragraph">
                  <wp:posOffset>128905</wp:posOffset>
                </wp:positionV>
                <wp:extent cx="914400" cy="257175"/>
                <wp:effectExtent l="0" t="0" r="0" b="9525"/>
                <wp:wrapNone/>
                <wp:docPr id="8" name="Cuadro de texto 8"/>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17A88" w14:textId="77777777" w:rsidR="0035508B" w:rsidRPr="00B2193C" w:rsidRDefault="0035508B" w:rsidP="00793244">
                            <w:pPr>
                              <w:rPr>
                                <w:color w:val="FF0000"/>
                              </w:rPr>
                            </w:pPr>
                            <w:r w:rsidRPr="00B2193C">
                              <w:rPr>
                                <w:color w:val="FF0000"/>
                              </w:rPr>
                              <w:t>Cruce SPOA-SIEDCO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69522" id="_x0000_t202" coordsize="21600,21600" o:spt="202" path="m,l,21600r21600,l21600,xe">
                <v:stroke joinstyle="miter"/>
                <v:path gradientshapeok="t" o:connecttype="rect"/>
              </v:shapetype>
              <v:shape id="Cuadro de texto 8" o:spid="_x0000_s1026" type="#_x0000_t202" style="position:absolute;left:0;text-align:left;margin-left:296.7pt;margin-top:10.15pt;width:1in;height:20.2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" fillcolor="white [3201]" stroked="f" strokeweight=".5pt">
                <v:textbox>
                  <w:txbxContent>
                    <w:p w14:paraId="18C17A88" w14:textId="77777777" w:rsidR="0035508B" w:rsidRPr="00B2193C" w:rsidRDefault="0035508B" w:rsidP="00793244">
                      <w:pPr>
                        <w:rPr>
                          <w:color w:val="FF0000"/>
                        </w:rPr>
                      </w:pPr>
                      <w:r w:rsidRPr="00B2193C">
                        <w:rPr>
                          <w:color w:val="FF0000"/>
                        </w:rPr>
                        <w:t>Cruce SPOA-SIEDCO</w:t>
                      </w:r>
                    </w:p>
                  </w:txbxContent>
                </v:textbox>
              </v:shape>
            </w:pict>
          </mc:Fallback>
        </mc:AlternateContent>
      </w:r>
      <w:r w:rsidRPr="00E37BAA">
        <w:rPr>
          <w:rFonts w:cstheme="minorHAnsi"/>
          <w:noProof/>
          <w:lang w:val="es-ES" w:eastAsia="es-ES"/>
        </w:rPr>
        <w:drawing>
          <wp:inline distT="0" distB="0" distL="0" distR="0" wp14:anchorId="5E885C0E" wp14:editId="13B5D219">
            <wp:extent cx="5355771" cy="3293110"/>
            <wp:effectExtent l="0" t="0" r="0" b="254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DEAD34" w14:textId="77777777" w:rsidR="00793244" w:rsidRPr="00E37BAA" w:rsidRDefault="00793244" w:rsidP="0063405E">
      <w:pPr>
        <w:pStyle w:val="Prrafodelista"/>
        <w:spacing w:line="240" w:lineRule="auto"/>
        <w:rPr>
          <w:rFonts w:cstheme="minorHAnsi"/>
          <w:sz w:val="16"/>
          <w:lang w:val="es-ES_tradnl"/>
        </w:rPr>
      </w:pPr>
      <w:r w:rsidRPr="00E37BAA">
        <w:rPr>
          <w:rFonts w:cstheme="minorHAnsi"/>
          <w:sz w:val="16"/>
          <w:lang w:val="es-ES_tradnl"/>
        </w:rPr>
        <w:t>Fuente: Cálculos propios con información de SIEDCO de la DIJIN - POLICÍA NACIONAL. Elaborado por Oficina de Análisis de Información y Estudios Estratégicos, Secretaría de Seguridad, Convivencia y Justicia. Información sujeta a cambios</w:t>
      </w:r>
    </w:p>
    <w:p w14:paraId="11A7AE23" w14:textId="53C8DF15" w:rsidR="00793244" w:rsidRPr="00E37BAA" w:rsidRDefault="00793244" w:rsidP="0063405E">
      <w:pPr>
        <w:spacing w:line="240" w:lineRule="auto"/>
        <w:ind w:left="708"/>
        <w:jc w:val="both"/>
        <w:rPr>
          <w:rFonts w:cstheme="minorHAnsi"/>
          <w:lang w:val="es-ES"/>
        </w:rPr>
      </w:pPr>
      <w:r w:rsidRPr="00E37BAA">
        <w:rPr>
          <w:rFonts w:cstheme="minorHAnsi"/>
          <w:lang w:val="es-ES"/>
        </w:rPr>
        <w:t>A pesar de lo anterior</w:t>
      </w:r>
      <w:r w:rsidR="003375CC">
        <w:rPr>
          <w:rFonts w:cstheme="minorHAnsi"/>
          <w:lang w:val="es-ES"/>
        </w:rPr>
        <w:t>,</w:t>
      </w:r>
      <w:r w:rsidRPr="00E37BAA">
        <w:rPr>
          <w:rFonts w:cstheme="minorHAnsi"/>
          <w:lang w:val="es-ES"/>
        </w:rPr>
        <w:t xml:space="preserve"> la información permite discriminar las poblaciones y los lugares más afectados de la ciudad por este delito. En 2010, las víctimas de lesiones eran principalmente </w:t>
      </w:r>
      <w:r w:rsidR="00E37BAA" w:rsidRPr="00E37BAA">
        <w:rPr>
          <w:rFonts w:cstheme="minorHAnsi"/>
          <w:lang w:val="es-ES"/>
        </w:rPr>
        <w:t>hombres,</w:t>
      </w:r>
      <w:r w:rsidRPr="00E37BAA">
        <w:rPr>
          <w:rFonts w:cstheme="minorHAnsi"/>
          <w:lang w:val="es-ES"/>
        </w:rPr>
        <w:t xml:space="preserve"> pero con el paso del tiempo la participación entre sexos ha venido igualándose. Para el año 2018, 53% de las víctimas fueron hombres y el 47% restante fueron mujeres. </w:t>
      </w:r>
      <w:r w:rsidR="003375CC" w:rsidRPr="00E37BAA">
        <w:rPr>
          <w:rFonts w:cstheme="minorHAnsi"/>
          <w:lang w:val="es-ES"/>
        </w:rPr>
        <w:t>En relación con</w:t>
      </w:r>
      <w:r w:rsidRPr="00E37BAA">
        <w:rPr>
          <w:rFonts w:cstheme="minorHAnsi"/>
          <w:lang w:val="es-ES"/>
        </w:rPr>
        <w:t xml:space="preserve"> las edades, se encuentra que en promedio el 67% de las víctimas </w:t>
      </w:r>
      <w:r w:rsidR="00E37BAA" w:rsidRPr="00E37BAA">
        <w:rPr>
          <w:rFonts w:cstheme="minorHAnsi"/>
          <w:lang w:val="es-ES"/>
        </w:rPr>
        <w:t>de lesiones</w:t>
      </w:r>
      <w:r w:rsidRPr="00E37BAA">
        <w:rPr>
          <w:rFonts w:cstheme="minorHAnsi"/>
          <w:lang w:val="es-ES"/>
        </w:rPr>
        <w:t xml:space="preserve"> están entre los 14 y 39 </w:t>
      </w:r>
      <w:r w:rsidR="00E37BAA" w:rsidRPr="00E37BAA">
        <w:rPr>
          <w:rFonts w:cstheme="minorHAnsi"/>
          <w:lang w:val="es-ES"/>
        </w:rPr>
        <w:t>años</w:t>
      </w:r>
      <w:r w:rsidRPr="00E37BAA">
        <w:rPr>
          <w:rFonts w:cstheme="minorHAnsi"/>
          <w:lang w:val="es-ES"/>
        </w:rPr>
        <w:t xml:space="preserve">. En cuanto al componente horario, la mitad del total de estos hechos ocurren desde las 6 pm de la tarde y hasta las 3 am de la madrugada.  Los días de la semana con mayor número de casos, aproximadamente el 40% del </w:t>
      </w:r>
      <w:r w:rsidR="00E37BAA" w:rsidRPr="00E37BAA">
        <w:rPr>
          <w:rFonts w:cstheme="minorHAnsi"/>
          <w:lang w:val="es-ES"/>
        </w:rPr>
        <w:t>total, son</w:t>
      </w:r>
      <w:r w:rsidRPr="00E37BAA">
        <w:rPr>
          <w:rFonts w:cstheme="minorHAnsi"/>
          <w:lang w:val="es-ES"/>
        </w:rPr>
        <w:t xml:space="preserve"> los sábados y domingos.</w:t>
      </w:r>
    </w:p>
    <w:p w14:paraId="68D02D22" w14:textId="44DDB5E1" w:rsidR="00793244" w:rsidRPr="00E37BAA" w:rsidRDefault="00793244" w:rsidP="0063405E">
      <w:pPr>
        <w:spacing w:line="240" w:lineRule="auto"/>
        <w:ind w:left="708"/>
        <w:jc w:val="both"/>
        <w:rPr>
          <w:rFonts w:cstheme="minorHAnsi"/>
          <w:lang w:val="es-ES"/>
        </w:rPr>
      </w:pPr>
      <w:r w:rsidRPr="00E37BAA">
        <w:rPr>
          <w:rFonts w:cstheme="minorHAnsi"/>
          <w:lang w:val="es-ES"/>
        </w:rPr>
        <w:t xml:space="preserve">De acuerdo con la información de la Policía Nacional y como en el caso de los homicidios la mayoría de </w:t>
      </w:r>
      <w:r w:rsidR="00E37BAA" w:rsidRPr="00E37BAA">
        <w:rPr>
          <w:rFonts w:cstheme="minorHAnsi"/>
          <w:lang w:val="es-ES"/>
        </w:rPr>
        <w:t>los casos</w:t>
      </w:r>
      <w:r w:rsidRPr="00E37BAA">
        <w:rPr>
          <w:rFonts w:cstheme="minorHAnsi"/>
          <w:lang w:val="es-ES"/>
        </w:rPr>
        <w:t xml:space="preserve"> (83%) están asociados con riñas, y el arma usada comúnmente es la contundente</w:t>
      </w:r>
      <w:r w:rsidR="003375CC">
        <w:rPr>
          <w:rStyle w:val="Refdenotaalpie"/>
          <w:rFonts w:cstheme="minorHAnsi"/>
          <w:lang w:val="es-ES"/>
        </w:rPr>
        <w:footnoteReference w:id="2"/>
      </w:r>
      <w:r w:rsidRPr="00E37BAA">
        <w:rPr>
          <w:rFonts w:cstheme="minorHAnsi"/>
          <w:lang w:val="es-ES"/>
        </w:rPr>
        <w:t xml:space="preserve"> (70%), seguida por el arma blanca (16%).</w:t>
      </w:r>
    </w:p>
    <w:p w14:paraId="4DD06D2E" w14:textId="1C4C2216" w:rsidR="00793244" w:rsidRDefault="00793244" w:rsidP="0063405E">
      <w:pPr>
        <w:spacing w:line="240" w:lineRule="auto"/>
        <w:ind w:left="708"/>
        <w:jc w:val="both"/>
        <w:rPr>
          <w:rFonts w:cstheme="minorHAnsi"/>
          <w:lang w:val="es-ES"/>
        </w:rPr>
      </w:pPr>
      <w:r w:rsidRPr="00E37BAA">
        <w:rPr>
          <w:rFonts w:cstheme="minorHAnsi"/>
          <w:lang w:val="es-ES"/>
        </w:rPr>
        <w:t>En cuanto a distribución geográfica como se puede observar en la siguiente figura, las lesiones se encuentran concentradas, al igual que el homicidio, en las localidades que tiene mayor población. Al analizar la tasa por cada 100.000 habitantes encontramos que localidades como Santa Fe, Los Mártires y Candelaria son los que tienen mayores niveles.</w:t>
      </w:r>
    </w:p>
    <w:p w14:paraId="6BB6E789" w14:textId="6B464BC3" w:rsidR="00E37BAA" w:rsidRPr="002E171F" w:rsidRDefault="00E37BAA" w:rsidP="0063405E">
      <w:pPr>
        <w:pStyle w:val="Prrafodelista"/>
        <w:numPr>
          <w:ilvl w:val="0"/>
          <w:numId w:val="21"/>
        </w:numPr>
        <w:spacing w:line="240" w:lineRule="auto"/>
        <w:jc w:val="both"/>
        <w:rPr>
          <w:lang w:val="es-ES_tradnl"/>
        </w:rPr>
      </w:pPr>
      <w:r w:rsidRPr="002E171F">
        <w:rPr>
          <w:rFonts w:cstheme="minorHAnsi"/>
          <w:u w:val="single"/>
        </w:rPr>
        <w:t>Riñas:</w:t>
      </w:r>
      <w:r w:rsidRPr="00E37BAA">
        <w:rPr>
          <w:rFonts w:cstheme="minorHAnsi"/>
          <w:b/>
        </w:rPr>
        <w:t xml:space="preserve"> </w:t>
      </w:r>
      <w:r w:rsidRPr="002E171F">
        <w:rPr>
          <w:rFonts w:cstheme="minorHAnsi"/>
          <w:lang w:val="es-ES"/>
        </w:rPr>
        <w:t>De acuerdo con Encuesta de Percepción y Victimización del primer semestre de 2016,</w:t>
      </w:r>
      <w:r w:rsidRPr="002E171F">
        <w:rPr>
          <w:rFonts w:asciiTheme="majorHAnsi" w:hAnsiTheme="majorHAnsi"/>
          <w:lang w:val="es-ES"/>
        </w:rPr>
        <w:t xml:space="preserve"> </w:t>
      </w:r>
      <w:r w:rsidRPr="002E171F">
        <w:rPr>
          <w:lang w:val="es-ES_tradnl"/>
        </w:rPr>
        <w:t xml:space="preserve">las reuniones ruidosas de noche y las riñas son los factores que más afectan la convivencia en la ciudad. Según los reportes </w:t>
      </w:r>
      <w:r w:rsidRPr="00077B4D">
        <w:rPr>
          <w:lang w:val="es-ES_tradnl"/>
        </w:rPr>
        <w:t>de SIEDCO de la Policía Nacional</w:t>
      </w:r>
      <w:r w:rsidR="00077B4D">
        <w:rPr>
          <w:lang w:val="es-ES_tradnl"/>
        </w:rPr>
        <w:t xml:space="preserve">, </w:t>
      </w:r>
      <w:r w:rsidR="009A4F55">
        <w:rPr>
          <w:lang w:val="es-ES_tradnl"/>
        </w:rPr>
        <w:t>a lo largo de los últimos 3 años</w:t>
      </w:r>
      <w:r w:rsidR="00077B4D">
        <w:rPr>
          <w:lang w:val="es-ES_tradnl"/>
        </w:rPr>
        <w:t xml:space="preserve">, </w:t>
      </w:r>
      <w:r w:rsidR="009A4F55">
        <w:rPr>
          <w:lang w:val="es-ES_tradnl"/>
        </w:rPr>
        <w:t xml:space="preserve">aproximadamente </w:t>
      </w:r>
      <w:r w:rsidR="00077B4D">
        <w:rPr>
          <w:lang w:val="es-ES_tradnl"/>
        </w:rPr>
        <w:t xml:space="preserve">el 70% </w:t>
      </w:r>
      <w:r w:rsidR="009A4F55">
        <w:rPr>
          <w:lang w:val="es-ES_tradnl"/>
        </w:rPr>
        <w:t>de los casos de lesiones y lesiones personales se encuentran</w:t>
      </w:r>
      <w:r w:rsidRPr="00813B06">
        <w:rPr>
          <w:highlight w:val="yellow"/>
          <w:lang w:val="es-ES_tradnl"/>
        </w:rPr>
        <w:t xml:space="preserve"> </w:t>
      </w:r>
      <w:r w:rsidRPr="009A4F55">
        <w:rPr>
          <w:lang w:val="es-ES_tradnl"/>
        </w:rPr>
        <w:t>asociados a las riñas motivadas por conflictos</w:t>
      </w:r>
      <w:r w:rsidRPr="002E171F">
        <w:rPr>
          <w:lang w:val="es-ES_tradnl"/>
        </w:rPr>
        <w:t xml:space="preserve"> producto de diferencias culturales, comportamentales y por el uso del espacio</w:t>
      </w:r>
      <w:r w:rsidR="009A4F55">
        <w:rPr>
          <w:lang w:val="es-ES_tradnl"/>
        </w:rPr>
        <w:t xml:space="preserve"> durante los últimos 3 años</w:t>
      </w:r>
      <w:r w:rsidRPr="002E171F">
        <w:rPr>
          <w:lang w:val="es-ES_tradnl"/>
        </w:rPr>
        <w:t>.</w:t>
      </w:r>
      <w:r w:rsidR="009A4F55">
        <w:rPr>
          <w:lang w:val="es-ES_tradnl"/>
        </w:rPr>
        <w:t xml:space="preserve"> Esto indica, </w:t>
      </w:r>
      <w:proofErr w:type="gramStart"/>
      <w:r w:rsidR="009A4F55">
        <w:rPr>
          <w:lang w:val="es-ES_tradnl"/>
        </w:rPr>
        <w:t>que</w:t>
      </w:r>
      <w:proofErr w:type="gramEnd"/>
      <w:r w:rsidR="009A4F55">
        <w:rPr>
          <w:lang w:val="es-ES_tradnl"/>
        </w:rPr>
        <w:t xml:space="preserve"> si </w:t>
      </w:r>
      <w:r w:rsidR="009A4F55">
        <w:rPr>
          <w:lang w:val="es-ES_tradnl"/>
        </w:rPr>
        <w:lastRenderedPageBreak/>
        <w:t>bien ha habido una reducción de la participación de las riñas en el comportamiento de las lesiones personales y del homicidio con respecto al 2016, que presentaba cifras de 84% y 94% respectivamente, sigue siendo un factor asociado de suma relevancia para el análisis de los dos delitos mencionados con anterioridad.</w:t>
      </w:r>
    </w:p>
    <w:p w14:paraId="462C6889" w14:textId="1E413AB5" w:rsidR="00B133E2" w:rsidRPr="007862D4" w:rsidRDefault="00E37BAA" w:rsidP="0063405E">
      <w:pPr>
        <w:spacing w:line="240" w:lineRule="auto"/>
        <w:ind w:left="708"/>
        <w:jc w:val="both"/>
        <w:rPr>
          <w:rFonts w:cstheme="minorHAnsi"/>
          <w:lang w:val="es-ES_tradnl"/>
        </w:rPr>
      </w:pPr>
      <w:r>
        <w:rPr>
          <w:lang w:val="es-ES_tradnl"/>
        </w:rPr>
        <w:t xml:space="preserve">De acuerdo con el registro de llamadas a la línea 123 encontramos que durante el periodo el número de reportes por riñas ha disminuido, como se puede observar en la figura 4. Hasta septiembre de 2019 se han registrado alrededor de 335.000 llamadas por este tipo de </w:t>
      </w:r>
      <w:r w:rsidRPr="007862D4">
        <w:rPr>
          <w:rFonts w:cstheme="minorHAnsi"/>
          <w:lang w:val="es-ES_tradnl"/>
        </w:rPr>
        <w:t>incidentes.</w:t>
      </w:r>
    </w:p>
    <w:p w14:paraId="62F57E9F" w14:textId="4E3D9C7A" w:rsidR="00E37BAA" w:rsidRPr="007862D4" w:rsidRDefault="00E37BAA" w:rsidP="0063405E">
      <w:pPr>
        <w:spacing w:line="240" w:lineRule="auto"/>
        <w:jc w:val="center"/>
        <w:rPr>
          <w:rFonts w:cstheme="minorHAnsi"/>
          <w:b/>
          <w:lang w:val="es-ES_tradnl"/>
        </w:rPr>
      </w:pPr>
      <w:r w:rsidRPr="007862D4">
        <w:rPr>
          <w:rFonts w:cstheme="minorHAnsi"/>
          <w:b/>
          <w:lang w:val="es-ES"/>
        </w:rPr>
        <w:t>Figura</w:t>
      </w:r>
      <w:r w:rsidR="007862D4">
        <w:rPr>
          <w:rFonts w:cstheme="minorHAnsi"/>
          <w:b/>
          <w:lang w:val="es-ES"/>
        </w:rPr>
        <w:t xml:space="preserve"> #</w:t>
      </w:r>
      <w:r w:rsidRPr="007862D4">
        <w:rPr>
          <w:rFonts w:cstheme="minorHAnsi"/>
          <w:b/>
          <w:lang w:val="es-ES"/>
        </w:rPr>
        <w:t xml:space="preserve"> 4. Riñas 2016- septiembre 2019</w:t>
      </w:r>
    </w:p>
    <w:p w14:paraId="7F078102" w14:textId="77777777" w:rsidR="00E37BAA" w:rsidRDefault="00E37BAA" w:rsidP="0063405E">
      <w:pPr>
        <w:spacing w:line="240" w:lineRule="auto"/>
        <w:jc w:val="both"/>
        <w:rPr>
          <w:rFonts w:asciiTheme="majorHAnsi" w:hAnsiTheme="majorHAnsi"/>
          <w:lang w:val="es-ES_tradnl"/>
        </w:rPr>
      </w:pPr>
      <w:r>
        <w:rPr>
          <w:noProof/>
          <w:lang w:val="es-ES" w:eastAsia="es-ES"/>
        </w:rPr>
        <w:drawing>
          <wp:inline distT="0" distB="0" distL="0" distR="0" wp14:anchorId="70290D4A" wp14:editId="71EFC1C5">
            <wp:extent cx="5612130" cy="2303780"/>
            <wp:effectExtent l="0" t="0" r="7620" b="127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C4666F" w14:textId="477603E0" w:rsidR="00E37BAA" w:rsidRDefault="00E37BAA" w:rsidP="0063405E">
      <w:pPr>
        <w:spacing w:line="240" w:lineRule="auto"/>
        <w:jc w:val="both"/>
        <w:rPr>
          <w:rFonts w:asciiTheme="majorHAnsi" w:hAnsiTheme="majorHAnsi"/>
          <w:sz w:val="16"/>
          <w:lang w:val="es-ES_tradnl"/>
        </w:rPr>
      </w:pPr>
      <w:r w:rsidRPr="000047FC">
        <w:rPr>
          <w:rFonts w:asciiTheme="majorHAnsi" w:hAnsiTheme="majorHAnsi"/>
          <w:sz w:val="16"/>
          <w:lang w:val="es-ES_tradnl"/>
        </w:rPr>
        <w:t>Fuente: Cálculos propios con</w:t>
      </w:r>
      <w:r>
        <w:rPr>
          <w:rFonts w:asciiTheme="majorHAnsi" w:hAnsiTheme="majorHAnsi"/>
          <w:sz w:val="16"/>
          <w:lang w:val="es-ES_tradnl"/>
        </w:rPr>
        <w:t xml:space="preserve"> información de PROCAD. Línea 123. </w:t>
      </w:r>
      <w:r w:rsidRPr="000047FC">
        <w:rPr>
          <w:rFonts w:asciiTheme="majorHAnsi" w:hAnsiTheme="majorHAnsi"/>
          <w:sz w:val="16"/>
          <w:lang w:val="es-ES_tradnl"/>
        </w:rPr>
        <w:t>Elaborado por Oficina de Análisis de Información y Estudios Estratégicos, Secretaría de Seguridad, Convivencia y Justicia. Información sujeta a cambios</w:t>
      </w:r>
    </w:p>
    <w:p w14:paraId="355A79E5" w14:textId="062B754A" w:rsidR="00B133E2" w:rsidRDefault="00B133E2" w:rsidP="0063405E">
      <w:pPr>
        <w:spacing w:line="240" w:lineRule="auto"/>
        <w:ind w:left="708"/>
        <w:jc w:val="both"/>
        <w:rPr>
          <w:rFonts w:cstheme="minorHAnsi"/>
        </w:rPr>
      </w:pPr>
      <w:r w:rsidRPr="00B133E2">
        <w:rPr>
          <w:rFonts w:cstheme="minorHAnsi"/>
        </w:rPr>
        <w:t xml:space="preserve">Existen factores asociados a comportamientos contrarios a la convivencia que de no ser gestionados </w:t>
      </w:r>
      <w:r w:rsidR="0096097D">
        <w:rPr>
          <w:rFonts w:cstheme="minorHAnsi"/>
        </w:rPr>
        <w:t>oportunamente</w:t>
      </w:r>
      <w:r w:rsidRPr="00B133E2">
        <w:rPr>
          <w:rFonts w:cstheme="minorHAnsi"/>
        </w:rPr>
        <w:t xml:space="preserve"> pueden representar riesgos para, no solo conductas violentas como las riñas y su posible evolución a lesiones personales y homicidios, sino también para el equilibro de las relaciones humanas de la ciudad.</w:t>
      </w:r>
      <w:r>
        <w:rPr>
          <w:rFonts w:asciiTheme="majorHAnsi" w:hAnsiTheme="majorHAnsi"/>
          <w:lang w:val="es-ES_tradnl"/>
        </w:rPr>
        <w:t xml:space="preserve">  </w:t>
      </w:r>
      <w:r w:rsidRPr="00E37BAA">
        <w:rPr>
          <w:rFonts w:cstheme="minorHAnsi"/>
        </w:rPr>
        <w:t>La Encuesta Bienal de Culturas (EBC) ha indagado desde 2011 sobre la percepción ciudadana en aspectos religiosos, étnicos, sociales y económicos y sus resultados muestran representaciones en materia de convivencia que evidencian (EBC 2015) que más del 40% de los ciudadanos considera tener al menos un conflicto con sus vecinos. Así mismo, el 42,9% manifestó que los vecinos de su barrio escuchaban música a un volumen muy alto, el 40,1% que con cierta frecuencia tenía problemas con los borrachos, el 42,9% que los vecinos sacan la basura a deshoras o la dejan frente a la casa de los demás, el 49,9% que las mascotas ensucian los lugares comunes o hacen ruido y, finalmente, un 28% dijo considerar que las familias son conflictivas al haber sido testigos de peleas con gritos, insultos, portazos, golpes, entre otros. Aunque el 46,5% de la población (EBC 2015) percibe el espacio público como un lugar de expresión cultural y artística y para la práctica deportiva, el 82,2% lo considera como un espacio de peligro y el 77,6% de conflicto.</w:t>
      </w:r>
    </w:p>
    <w:p w14:paraId="2CFB2A91" w14:textId="77777777" w:rsidR="0096097D" w:rsidRPr="00E37BAA" w:rsidRDefault="0096097D" w:rsidP="0063405E">
      <w:pPr>
        <w:spacing w:line="240" w:lineRule="auto"/>
        <w:ind w:left="708"/>
        <w:jc w:val="both"/>
        <w:rPr>
          <w:rFonts w:cstheme="minorHAnsi"/>
        </w:rPr>
      </w:pPr>
      <w:r w:rsidRPr="00E37BAA">
        <w:rPr>
          <w:rFonts w:cstheme="minorHAnsi"/>
        </w:rPr>
        <w:t>Estas percepciones coinciden con algunos de los comportamientos contrarios a la convivencia establecidos por el Código Nacional de Policía y Convivencia, y en ese sentido su intervención se focalizó en fortalecer la implementación de esta norma en la ciudad de Bogotá.</w:t>
      </w:r>
    </w:p>
    <w:p w14:paraId="4F1DF0AF" w14:textId="4BD67DD1" w:rsidR="00B133E2" w:rsidRDefault="0096097D" w:rsidP="0063405E">
      <w:pPr>
        <w:spacing w:line="240" w:lineRule="auto"/>
        <w:ind w:left="708"/>
        <w:jc w:val="both"/>
        <w:rPr>
          <w:rFonts w:cstheme="minorHAnsi"/>
        </w:rPr>
      </w:pPr>
      <w:r w:rsidRPr="00E37BAA">
        <w:rPr>
          <w:rFonts w:cstheme="minorHAnsi"/>
        </w:rPr>
        <w:lastRenderedPageBreak/>
        <w:t>Con base en lo anterior, en el marco del PISCJ y en la implementación de la Ley No. 1801 de 2016 Código Nacional de Policía y Convivencia -CNPC-, la Secretaría Distrital de Seguridad, Convivencia y Justicia cuenta con un equipo administrativo y territorial que lidera los programas y estrategias en la materia en la entidad.</w:t>
      </w:r>
    </w:p>
    <w:p w14:paraId="6494A29B" w14:textId="0F88175A" w:rsidR="00C4261B" w:rsidRDefault="00C4261B" w:rsidP="0063405E">
      <w:pPr>
        <w:spacing w:line="240" w:lineRule="auto"/>
        <w:jc w:val="both"/>
        <w:rPr>
          <w:rFonts w:cstheme="minorHAnsi"/>
        </w:rPr>
      </w:pPr>
      <w:r>
        <w:rPr>
          <w:rFonts w:cstheme="minorHAnsi"/>
        </w:rPr>
        <w:t>Es importante en este punto poner de presente que la evolución de los homicidios, lesiones personales y riñas ha obedecido en parte por las gestiones que desde la SDSCJ se han realizado desde dos puntos de vista: El primero, es el ámbito institucional al interior de la Secretaría, articulando las diferentes áreas a la luz de las programas y estrategias expuestos en el PISCJ de manera transversal. El segundo, es el ámbito interinstitucional en el que, desde la SDSCJ como líder de la formulación y ejecución de la política pública de seguridad, convivencia y acceso a la justicia, coordina con las entidades del nivel Distrital y Nacional para llevar a cabo dichos programas y estrategias orientadas a la reducción en la frecuencia de la ocurrencia de los delitos y factores asociados mencionados anteriormente.</w:t>
      </w:r>
    </w:p>
    <w:p w14:paraId="72F49655" w14:textId="21469669" w:rsidR="00C4261B" w:rsidRDefault="00C4261B" w:rsidP="0063405E">
      <w:pPr>
        <w:spacing w:line="240" w:lineRule="auto"/>
        <w:jc w:val="both"/>
        <w:rPr>
          <w:rFonts w:cstheme="minorHAnsi"/>
        </w:rPr>
      </w:pPr>
      <w:r>
        <w:rPr>
          <w:rFonts w:cstheme="minorHAnsi"/>
        </w:rPr>
        <w:t xml:space="preserve">La respuesta institucional para contribuir a la evolución que se ha evidenciado en las problemáticas anteriormente </w:t>
      </w:r>
      <w:r w:rsidR="0015145B">
        <w:rPr>
          <w:rFonts w:cstheme="minorHAnsi"/>
        </w:rPr>
        <w:t>mencionadas</w:t>
      </w:r>
      <w:r>
        <w:rPr>
          <w:rFonts w:cstheme="minorHAnsi"/>
        </w:rPr>
        <w:t xml:space="preserve"> </w:t>
      </w:r>
      <w:r w:rsidR="0015145B">
        <w:rPr>
          <w:rFonts w:cstheme="minorHAnsi"/>
        </w:rPr>
        <w:t xml:space="preserve">ha sido a través de la formulación y ejecución de los siguientes programas, desde una perspectiva de prevención y control del delito: </w:t>
      </w:r>
    </w:p>
    <w:p w14:paraId="410DF2F0" w14:textId="6C38D51A" w:rsidR="0015145B" w:rsidRPr="0015145B" w:rsidRDefault="0015145B" w:rsidP="0063405E">
      <w:pPr>
        <w:pStyle w:val="Prrafodelista"/>
        <w:numPr>
          <w:ilvl w:val="0"/>
          <w:numId w:val="34"/>
        </w:numPr>
        <w:spacing w:line="240" w:lineRule="auto"/>
        <w:jc w:val="both"/>
        <w:rPr>
          <w:rFonts w:cstheme="minorHAnsi"/>
        </w:rPr>
      </w:pPr>
      <w:r w:rsidRPr="0015145B">
        <w:rPr>
          <w:rFonts w:cstheme="minorHAnsi"/>
          <w:b/>
        </w:rPr>
        <w:t>Programa de Entornos Protectores:</w:t>
      </w:r>
      <w:r>
        <w:rPr>
          <w:rFonts w:cstheme="minorHAnsi"/>
        </w:rPr>
        <w:t xml:space="preserve"> </w:t>
      </w:r>
      <w:r w:rsidRPr="0015145B">
        <w:rPr>
          <w:rFonts w:cs="Arial"/>
          <w:lang w:val="es-ES"/>
        </w:rPr>
        <w:t xml:space="preserve">Tiene como propósito la consolidación de diferentes zonas de la ciudad en donde se concentran gran cantidad de ciudadanos como zonas seguras y libres de violencia. Este programa se desarrolla a través de diferentes estrategias en las cuales </w:t>
      </w:r>
      <w:r w:rsidRPr="0015145B">
        <w:rPr>
          <w:rFonts w:cs="Arial"/>
          <w:bCs/>
          <w:lang w:val="es-ES"/>
        </w:rPr>
        <w:t>se implementan 3 componentes transversales que permiten mejorar la seguridad y convivencia a partir de la prevención: mejoramiento físico, corresponsabilidad institucional y ciudadana y fortalecimiento de las capacidades comunitarias</w:t>
      </w:r>
      <w:bookmarkStart w:id="2" w:name="_Hlk19549190"/>
      <w:r w:rsidRPr="0015145B">
        <w:rPr>
          <w:rFonts w:cs="Arial"/>
          <w:bCs/>
          <w:lang w:val="es-ES"/>
        </w:rPr>
        <w:t>.</w:t>
      </w:r>
    </w:p>
    <w:p w14:paraId="5737F594" w14:textId="77777777" w:rsidR="0015145B" w:rsidRDefault="0015145B" w:rsidP="0063405E">
      <w:pPr>
        <w:spacing w:line="240" w:lineRule="auto"/>
        <w:rPr>
          <w:rFonts w:cs="Arial"/>
          <w:bCs/>
          <w:lang w:val="es-ES"/>
        </w:rPr>
      </w:pPr>
    </w:p>
    <w:p w14:paraId="3ECC3E96" w14:textId="4943A105" w:rsidR="0015145B" w:rsidRPr="00A02C9F" w:rsidRDefault="0015145B" w:rsidP="0063405E">
      <w:pPr>
        <w:spacing w:line="240" w:lineRule="auto"/>
        <w:ind w:left="360"/>
        <w:jc w:val="both"/>
        <w:rPr>
          <w:rFonts w:cs="Arial"/>
          <w:bCs/>
          <w:color w:val="000000" w:themeColor="text1"/>
          <w:lang w:val="es-ES"/>
        </w:rPr>
      </w:pPr>
      <w:r w:rsidRPr="00B71B5A">
        <w:rPr>
          <w:rFonts w:cs="Arial"/>
          <w:bCs/>
          <w:color w:val="000000" w:themeColor="text1"/>
          <w:lang w:val="es-ES"/>
        </w:rPr>
        <w:t xml:space="preserve">Durante la presente Administración, se intervinieron en total </w:t>
      </w:r>
      <w:r w:rsidRPr="00B71B5A">
        <w:rPr>
          <w:rFonts w:cs="Arial"/>
          <w:b/>
          <w:color w:val="000000" w:themeColor="text1"/>
          <w:u w:val="single"/>
          <w:lang w:val="es-ES"/>
        </w:rPr>
        <w:t>393 entornos</w:t>
      </w:r>
      <w:r>
        <w:rPr>
          <w:rFonts w:cs="Arial"/>
          <w:bCs/>
          <w:color w:val="000000" w:themeColor="text1"/>
          <w:lang w:val="es-ES"/>
        </w:rPr>
        <w:t xml:space="preserve">, dentro de los cuales se priorizaron algunos en los cuales se encontraba concentrado el homicidio, las lesiones y las riñas. Dentro de estos entornos se </w:t>
      </w:r>
      <w:r w:rsidRPr="00B71B5A">
        <w:rPr>
          <w:rFonts w:cs="Arial"/>
          <w:bCs/>
          <w:color w:val="000000" w:themeColor="text1"/>
          <w:lang w:val="es-ES"/>
        </w:rPr>
        <w:t>encuentran 17 TAC</w:t>
      </w:r>
      <w:r>
        <w:rPr>
          <w:rFonts w:cs="Arial"/>
          <w:bCs/>
          <w:color w:val="000000" w:themeColor="text1"/>
          <w:lang w:val="es-ES"/>
        </w:rPr>
        <w:t xml:space="preserve"> (Territorios de Alta Complejidad)</w:t>
      </w:r>
      <w:r w:rsidRPr="00B71B5A">
        <w:rPr>
          <w:rFonts w:cs="Arial"/>
          <w:bCs/>
          <w:color w:val="000000" w:themeColor="text1"/>
          <w:lang w:val="es-ES"/>
        </w:rPr>
        <w:t xml:space="preserve">, </w:t>
      </w:r>
      <w:r>
        <w:rPr>
          <w:rFonts w:cs="Arial"/>
          <w:bCs/>
          <w:color w:val="000000" w:themeColor="text1"/>
          <w:lang w:val="es-ES"/>
        </w:rPr>
        <w:t xml:space="preserve">11 zonas de rumba, 108 parques, </w:t>
      </w:r>
      <w:r w:rsidRPr="00B71B5A">
        <w:rPr>
          <w:rFonts w:cs="Arial"/>
          <w:bCs/>
          <w:color w:val="000000" w:themeColor="text1"/>
          <w:lang w:val="es-ES"/>
        </w:rPr>
        <w:t xml:space="preserve">138 Instituciones Educativas Distritales – </w:t>
      </w:r>
      <w:proofErr w:type="spellStart"/>
      <w:r w:rsidRPr="00B71B5A">
        <w:rPr>
          <w:rFonts w:cs="Arial"/>
          <w:bCs/>
          <w:color w:val="000000" w:themeColor="text1"/>
          <w:lang w:val="es-ES"/>
        </w:rPr>
        <w:t>IED’s</w:t>
      </w:r>
      <w:proofErr w:type="spellEnd"/>
      <w:r>
        <w:rPr>
          <w:rFonts w:cs="Arial"/>
          <w:bCs/>
          <w:color w:val="000000" w:themeColor="text1"/>
          <w:lang w:val="es-ES"/>
        </w:rPr>
        <w:t xml:space="preserve"> (Instituciones Educativas Distritales)</w:t>
      </w:r>
      <w:r w:rsidRPr="00B71B5A">
        <w:rPr>
          <w:rFonts w:cs="Arial"/>
          <w:bCs/>
          <w:color w:val="000000" w:themeColor="text1"/>
          <w:lang w:val="es-ES"/>
        </w:rPr>
        <w:t>,</w:t>
      </w:r>
      <w:r>
        <w:rPr>
          <w:rFonts w:cs="Arial"/>
          <w:bCs/>
          <w:color w:val="000000" w:themeColor="text1"/>
          <w:lang w:val="es-ES"/>
        </w:rPr>
        <w:t xml:space="preserve"> y</w:t>
      </w:r>
      <w:r w:rsidRPr="00B71B5A">
        <w:rPr>
          <w:rFonts w:cs="Arial"/>
          <w:bCs/>
          <w:color w:val="000000" w:themeColor="text1"/>
          <w:lang w:val="es-ES"/>
        </w:rPr>
        <w:t xml:space="preserve"> 6 puntos de delitos contra la vida. En el marco de este programa se destacan los siguientes resultados:</w:t>
      </w:r>
    </w:p>
    <w:p w14:paraId="3C89D28A" w14:textId="77777777" w:rsidR="0015145B" w:rsidRDefault="0015145B" w:rsidP="0063405E">
      <w:pPr>
        <w:pStyle w:val="Prrafodelista"/>
        <w:numPr>
          <w:ilvl w:val="0"/>
          <w:numId w:val="35"/>
        </w:numPr>
        <w:spacing w:after="0" w:line="240" w:lineRule="auto"/>
        <w:jc w:val="both"/>
        <w:rPr>
          <w:rFonts w:cs="Arial"/>
          <w:bCs/>
          <w:lang w:val="es-ES"/>
        </w:rPr>
      </w:pPr>
      <w:r>
        <w:rPr>
          <w:rFonts w:cs="Arial"/>
          <w:bCs/>
          <w:lang w:val="es-ES"/>
        </w:rPr>
        <w:t xml:space="preserve">502 </w:t>
      </w:r>
      <w:r w:rsidRPr="00B71B5A">
        <w:rPr>
          <w:rFonts w:cs="Arial"/>
          <w:bCs/>
        </w:rPr>
        <w:t xml:space="preserve">intervenciones de cultura ciudadana y pedagogía </w:t>
      </w:r>
      <w:r>
        <w:rPr>
          <w:rFonts w:cs="Arial"/>
          <w:bCs/>
          <w:lang w:val="es-ES"/>
        </w:rPr>
        <w:t>en las zonas de rumba a través de la estrategia de cultura ciudadana conocida como Farra en la buena: impactando alrededor de 35.260 ciudadanos.</w:t>
      </w:r>
    </w:p>
    <w:p w14:paraId="0E5ECE01" w14:textId="2A3BF442" w:rsidR="0015145B" w:rsidRPr="0015145B" w:rsidRDefault="0015145B" w:rsidP="0063405E">
      <w:pPr>
        <w:pStyle w:val="Prrafodelista"/>
        <w:numPr>
          <w:ilvl w:val="0"/>
          <w:numId w:val="35"/>
        </w:numPr>
        <w:spacing w:after="0" w:line="240" w:lineRule="auto"/>
        <w:jc w:val="both"/>
        <w:rPr>
          <w:rFonts w:cs="Arial"/>
          <w:bCs/>
          <w:lang w:val="es-ES"/>
        </w:rPr>
      </w:pPr>
      <w:r w:rsidRPr="00DD73B3">
        <w:rPr>
          <w:rFonts w:cs="Arial"/>
          <w:color w:val="000000" w:themeColor="text1"/>
          <w:lang w:val="es-ES"/>
        </w:rPr>
        <w:t>6.000 acompañamientos en las entradas y salidas de estudiantes de las</w:t>
      </w:r>
      <w:r>
        <w:rPr>
          <w:rFonts w:cs="Arial"/>
          <w:color w:val="000000" w:themeColor="text1"/>
          <w:lang w:val="es-ES"/>
        </w:rPr>
        <w:t xml:space="preserve"> </w:t>
      </w:r>
      <w:proofErr w:type="spellStart"/>
      <w:r w:rsidRPr="00DD73B3">
        <w:rPr>
          <w:rFonts w:cs="Arial"/>
          <w:color w:val="000000" w:themeColor="text1"/>
          <w:lang w:val="es-ES"/>
        </w:rPr>
        <w:t>IED’s</w:t>
      </w:r>
      <w:proofErr w:type="spellEnd"/>
      <w:r w:rsidRPr="00DD73B3">
        <w:rPr>
          <w:rFonts w:cs="Arial"/>
          <w:color w:val="000000" w:themeColor="text1"/>
          <w:lang w:val="es-ES"/>
        </w:rPr>
        <w:t xml:space="preserve"> priorizadas.</w:t>
      </w:r>
    </w:p>
    <w:p w14:paraId="2495AA3C" w14:textId="77777777" w:rsidR="004156A7" w:rsidRDefault="004156A7" w:rsidP="0063405E">
      <w:pPr>
        <w:pStyle w:val="Prrafodelista"/>
        <w:spacing w:after="0" w:line="240" w:lineRule="auto"/>
        <w:jc w:val="center"/>
        <w:rPr>
          <w:rFonts w:cs="Arial"/>
          <w:color w:val="000000" w:themeColor="text1"/>
          <w:lang w:val="es-ES"/>
        </w:rPr>
      </w:pPr>
    </w:p>
    <w:p w14:paraId="52B4CAC8" w14:textId="1CB0846F" w:rsidR="004156A7" w:rsidRPr="004156A7" w:rsidRDefault="004156A7" w:rsidP="0063405E">
      <w:pPr>
        <w:pStyle w:val="Prrafodelista"/>
        <w:spacing w:after="0" w:line="240" w:lineRule="auto"/>
        <w:jc w:val="center"/>
        <w:rPr>
          <w:rFonts w:cs="Arial"/>
          <w:b/>
          <w:color w:val="000000" w:themeColor="text1"/>
          <w:lang w:val="es-ES"/>
        </w:rPr>
      </w:pPr>
      <w:r w:rsidRPr="004156A7">
        <w:rPr>
          <w:rFonts w:cs="Arial"/>
          <w:b/>
          <w:color w:val="000000" w:themeColor="text1"/>
          <w:lang w:val="es-ES"/>
        </w:rPr>
        <w:t>Figura # 5. Entornos intervenidos 2016-2019</w:t>
      </w:r>
    </w:p>
    <w:p w14:paraId="59163EAC" w14:textId="6C8A72A7" w:rsidR="0015145B" w:rsidRDefault="0015145B" w:rsidP="0063405E">
      <w:pPr>
        <w:pStyle w:val="Prrafodelista"/>
        <w:spacing w:after="0" w:line="240" w:lineRule="auto"/>
        <w:jc w:val="both"/>
        <w:rPr>
          <w:rFonts w:cs="Arial"/>
          <w:color w:val="000000" w:themeColor="text1"/>
          <w:lang w:val="es-ES"/>
        </w:rPr>
      </w:pPr>
    </w:p>
    <w:p w14:paraId="578DA840" w14:textId="165D5F1D" w:rsidR="0015145B" w:rsidRPr="00A02C9F" w:rsidRDefault="004156A7" w:rsidP="0063405E">
      <w:pPr>
        <w:pStyle w:val="Prrafodelista"/>
        <w:spacing w:after="0" w:line="240" w:lineRule="auto"/>
        <w:jc w:val="both"/>
        <w:rPr>
          <w:rFonts w:cs="Arial"/>
          <w:bCs/>
          <w:lang w:val="es-ES"/>
        </w:rPr>
      </w:pPr>
      <w:r>
        <w:rPr>
          <w:noProof/>
          <w:lang w:val="es-ES" w:eastAsia="es-ES"/>
        </w:rPr>
        <w:drawing>
          <wp:anchor distT="0" distB="0" distL="114300" distR="114300" simplePos="0" relativeHeight="251668480" behindDoc="0" locked="0" layoutInCell="1" allowOverlap="1" wp14:anchorId="72EAB144" wp14:editId="0619C8FF">
            <wp:simplePos x="0" y="0"/>
            <wp:positionH relativeFrom="margin">
              <wp:posOffset>1215390</wp:posOffset>
            </wp:positionH>
            <wp:positionV relativeFrom="paragraph">
              <wp:posOffset>57150</wp:posOffset>
            </wp:positionV>
            <wp:extent cx="2991485" cy="1443990"/>
            <wp:effectExtent l="0" t="0" r="18415" b="3810"/>
            <wp:wrapThrough wrapText="bothSides">
              <wp:wrapPolygon edited="0">
                <wp:start x="0" y="0"/>
                <wp:lineTo x="0" y="21372"/>
                <wp:lineTo x="21595" y="21372"/>
                <wp:lineTo x="21595" y="0"/>
                <wp:lineTo x="0" y="0"/>
              </wp:wrapPolygon>
            </wp:wrapThrough>
            <wp:docPr id="3141" name="Gráfico 3141">
              <a:extLst xmlns:a="http://schemas.openxmlformats.org/drawingml/2006/main">
                <a:ext uri="{FF2B5EF4-FFF2-40B4-BE49-F238E27FC236}">
                  <a16:creationId xmlns:a16="http://schemas.microsoft.com/office/drawing/2014/main" id="{CCB85D5D-1F2A-40D6-AA94-CBBC856BFC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611B5FB" w14:textId="77777777" w:rsidR="0015145B" w:rsidRDefault="0015145B" w:rsidP="0063405E">
      <w:pPr>
        <w:spacing w:line="240" w:lineRule="auto"/>
        <w:jc w:val="both"/>
        <w:rPr>
          <w:rFonts w:cs="Arial"/>
          <w:bCs/>
          <w:lang w:val="es-ES"/>
        </w:rPr>
      </w:pPr>
    </w:p>
    <w:bookmarkEnd w:id="2"/>
    <w:p w14:paraId="0F715333" w14:textId="77777777" w:rsidR="0015145B" w:rsidRDefault="0015145B" w:rsidP="0063405E">
      <w:pPr>
        <w:spacing w:line="240" w:lineRule="auto"/>
        <w:jc w:val="both"/>
        <w:rPr>
          <w:rFonts w:cs="Arial"/>
          <w:szCs w:val="24"/>
        </w:rPr>
      </w:pPr>
    </w:p>
    <w:p w14:paraId="2EC7AF45" w14:textId="77777777" w:rsidR="0015145B" w:rsidRDefault="0015145B" w:rsidP="0063405E">
      <w:pPr>
        <w:spacing w:line="240" w:lineRule="auto"/>
        <w:jc w:val="both"/>
        <w:rPr>
          <w:rFonts w:cs="Arial"/>
          <w:szCs w:val="24"/>
        </w:rPr>
      </w:pPr>
    </w:p>
    <w:p w14:paraId="17310113" w14:textId="77777777" w:rsidR="0015145B" w:rsidRDefault="0015145B" w:rsidP="0063405E">
      <w:pPr>
        <w:spacing w:line="240" w:lineRule="auto"/>
        <w:jc w:val="both"/>
        <w:rPr>
          <w:rFonts w:cs="Arial"/>
          <w:szCs w:val="24"/>
        </w:rPr>
      </w:pPr>
    </w:p>
    <w:p w14:paraId="50E4D0BA" w14:textId="100C6FF6" w:rsidR="0015145B" w:rsidRDefault="0015145B" w:rsidP="0063405E">
      <w:pPr>
        <w:spacing w:line="240" w:lineRule="auto"/>
        <w:jc w:val="both"/>
        <w:rPr>
          <w:rFonts w:cs="Arial"/>
          <w:szCs w:val="24"/>
        </w:rPr>
      </w:pPr>
    </w:p>
    <w:p w14:paraId="482FDF6C" w14:textId="74911E4A" w:rsidR="00766D50" w:rsidRPr="004156A7" w:rsidRDefault="00766D50" w:rsidP="0063405E">
      <w:pPr>
        <w:spacing w:line="240" w:lineRule="auto"/>
        <w:jc w:val="center"/>
        <w:rPr>
          <w:rFonts w:cs="Arial"/>
          <w:color w:val="000000" w:themeColor="text1"/>
          <w:sz w:val="16"/>
          <w:szCs w:val="12"/>
          <w:lang w:val="es-ES"/>
        </w:rPr>
      </w:pPr>
      <w:r w:rsidRPr="004156A7">
        <w:rPr>
          <w:rFonts w:cs="Arial"/>
          <w:color w:val="000000" w:themeColor="text1"/>
          <w:sz w:val="16"/>
          <w:szCs w:val="12"/>
          <w:lang w:val="es-ES"/>
        </w:rPr>
        <w:lastRenderedPageBreak/>
        <w:t>Fuente: Secretaría Distrital de Seguridad, Convivencia y Justicia.</w:t>
      </w:r>
      <w:r w:rsidR="004156A7">
        <w:rPr>
          <w:rFonts w:cs="Arial"/>
          <w:color w:val="000000" w:themeColor="text1"/>
          <w:sz w:val="16"/>
          <w:szCs w:val="12"/>
          <w:lang w:val="es-ES"/>
        </w:rPr>
        <w:t xml:space="preserve"> </w:t>
      </w:r>
      <w:r w:rsidRPr="004156A7">
        <w:rPr>
          <w:rFonts w:cs="Arial"/>
          <w:color w:val="000000" w:themeColor="text1"/>
          <w:sz w:val="16"/>
          <w:szCs w:val="12"/>
          <w:lang w:val="es-ES"/>
        </w:rPr>
        <w:t>Fecha de corte: 30/07/2019.</w:t>
      </w:r>
    </w:p>
    <w:p w14:paraId="507F522C" w14:textId="7528588B" w:rsidR="0015145B" w:rsidRDefault="0015145B" w:rsidP="0063405E">
      <w:pPr>
        <w:spacing w:line="240" w:lineRule="auto"/>
        <w:ind w:left="360"/>
        <w:jc w:val="both"/>
        <w:rPr>
          <w:rFonts w:cs="Arial"/>
          <w:szCs w:val="24"/>
        </w:rPr>
      </w:pPr>
      <w:r w:rsidRPr="008250C5">
        <w:rPr>
          <w:rFonts w:cs="Arial"/>
          <w:szCs w:val="24"/>
        </w:rPr>
        <w:t xml:space="preserve">Con respecto a </w:t>
      </w:r>
      <w:r w:rsidRPr="008250C5">
        <w:rPr>
          <w:rFonts w:cs="Arial"/>
          <w:b/>
          <w:szCs w:val="24"/>
        </w:rPr>
        <w:t>estrategias para tener entornos protectores escolares y parques</w:t>
      </w:r>
      <w:r w:rsidRPr="008250C5">
        <w:rPr>
          <w:rFonts w:cs="Arial"/>
          <w:szCs w:val="24"/>
        </w:rPr>
        <w:t xml:space="preserve"> se han hec</w:t>
      </w:r>
      <w:r>
        <w:rPr>
          <w:rFonts w:cs="Arial"/>
          <w:szCs w:val="24"/>
        </w:rPr>
        <w:t>h</w:t>
      </w:r>
      <w:r w:rsidRPr="008250C5">
        <w:rPr>
          <w:rFonts w:cs="Arial"/>
          <w:szCs w:val="24"/>
        </w:rPr>
        <w:t>o 88 mesas de entornos escolares con entidades locales y distritales, 239 mesas de trabajo con rec</w:t>
      </w:r>
      <w:r>
        <w:rPr>
          <w:rFonts w:cs="Arial"/>
          <w:szCs w:val="24"/>
        </w:rPr>
        <w:t>tores de IED; capacitación en las 138</w:t>
      </w:r>
      <w:r w:rsidRPr="008250C5">
        <w:rPr>
          <w:rFonts w:cs="Arial"/>
          <w:szCs w:val="24"/>
        </w:rPr>
        <w:t xml:space="preserve"> IED a la comunidad educativa en prevención de consumo de drogas, difusió</w:t>
      </w:r>
      <w:r>
        <w:rPr>
          <w:rFonts w:cs="Arial"/>
          <w:szCs w:val="24"/>
        </w:rPr>
        <w:t>n de información de autocuidado, así como diferentes acciones de control de manera conjunta con policía para prevenir la concentración de los delitos en dichos entornos.</w:t>
      </w:r>
    </w:p>
    <w:p w14:paraId="561DDFAC" w14:textId="158FC83C" w:rsidR="00EC2D74" w:rsidRDefault="0015145B" w:rsidP="0063405E">
      <w:pPr>
        <w:pStyle w:val="Prrafodelista"/>
        <w:numPr>
          <w:ilvl w:val="0"/>
          <w:numId w:val="35"/>
        </w:numPr>
        <w:spacing w:line="240" w:lineRule="auto"/>
        <w:jc w:val="both"/>
        <w:rPr>
          <w:rFonts w:cs="Arial"/>
          <w:szCs w:val="24"/>
        </w:rPr>
      </w:pPr>
      <w:r w:rsidRPr="00EC2D74">
        <w:rPr>
          <w:rFonts w:cstheme="minorHAnsi"/>
          <w:b/>
        </w:rPr>
        <w:t>Programa de Atención a Poblaciones en Alto Riesgo:</w:t>
      </w:r>
      <w:r w:rsidRPr="00EC2D74">
        <w:rPr>
          <w:rFonts w:cstheme="minorHAnsi"/>
        </w:rPr>
        <w:t xml:space="preserve"> </w:t>
      </w:r>
      <w:r w:rsidR="00EC2D74" w:rsidRPr="00EC2D74">
        <w:rPr>
          <w:rFonts w:cstheme="minorHAnsi"/>
        </w:rPr>
        <w:t>Tiene el objetico de</w:t>
      </w:r>
      <w:r w:rsidR="00EC2D74" w:rsidRPr="00EC2D74">
        <w:rPr>
          <w:rFonts w:cs="Arial"/>
          <w:szCs w:val="24"/>
        </w:rPr>
        <w:t xml:space="preserve"> incidir en la reducción de riñas, lesiones y prevención de la vinculación de jóvenes en delitos como homicidio o hurto, la SSCJ diseño e implementó una estrategia para jóvenes que podían estar con algún nivel de riesgo</w:t>
      </w:r>
      <w:r w:rsidR="00EC2D74">
        <w:rPr>
          <w:rFonts w:cs="Arial"/>
          <w:szCs w:val="24"/>
        </w:rPr>
        <w:t xml:space="preserve">. </w:t>
      </w:r>
    </w:p>
    <w:p w14:paraId="4801664F" w14:textId="498C9952" w:rsidR="00EC2D74" w:rsidRPr="00EC2D74" w:rsidRDefault="00EC2D74" w:rsidP="0063405E">
      <w:pPr>
        <w:pStyle w:val="Prrafodelista"/>
        <w:numPr>
          <w:ilvl w:val="1"/>
          <w:numId w:val="35"/>
        </w:numPr>
        <w:spacing w:line="240" w:lineRule="auto"/>
        <w:jc w:val="both"/>
        <w:rPr>
          <w:rFonts w:cs="Arial"/>
          <w:szCs w:val="24"/>
        </w:rPr>
      </w:pPr>
      <w:r>
        <w:rPr>
          <w:rFonts w:cstheme="minorHAnsi"/>
          <w:b/>
        </w:rPr>
        <w:t>Estrategia Prevención de la violencia juvenil:</w:t>
      </w:r>
    </w:p>
    <w:p w14:paraId="31E2CC56" w14:textId="6516E74A" w:rsidR="00EC2D74" w:rsidRDefault="00EC2D74" w:rsidP="0063405E">
      <w:pPr>
        <w:pStyle w:val="Prrafodelista"/>
        <w:numPr>
          <w:ilvl w:val="2"/>
          <w:numId w:val="35"/>
        </w:numPr>
        <w:spacing w:line="240" w:lineRule="auto"/>
        <w:jc w:val="both"/>
        <w:rPr>
          <w:rFonts w:cs="Arial"/>
          <w:szCs w:val="24"/>
        </w:rPr>
      </w:pPr>
      <w:r w:rsidRPr="00EC2D74">
        <w:rPr>
          <w:rFonts w:cs="Arial"/>
          <w:szCs w:val="24"/>
        </w:rPr>
        <w:t>“Cuenta Hasta Diez”: Es un modelo que buscan prevenir conductas violentas en los jóvenes a través del desarrollo de habilidades para mejorar la toma de sus decisiones</w:t>
      </w:r>
      <w:r>
        <w:rPr>
          <w:rFonts w:cs="Arial"/>
          <w:szCs w:val="24"/>
        </w:rPr>
        <w:t>. Como se verá más adelante, esta estrategia de se adecuó también para su implementación con población que ingresa al CTP (Centro de traslado por Protección) y con población privada de la libertad</w:t>
      </w:r>
      <w:r w:rsidRPr="00EC2D74">
        <w:rPr>
          <w:rFonts w:cs="Arial"/>
          <w:szCs w:val="24"/>
        </w:rPr>
        <w:t>. Esta estrategia tiene tres componentes:</w:t>
      </w:r>
    </w:p>
    <w:p w14:paraId="5322FD48" w14:textId="0F67136D" w:rsidR="00EC2D74" w:rsidRPr="00EC2D74" w:rsidRDefault="00EC2D74" w:rsidP="0063405E">
      <w:pPr>
        <w:pStyle w:val="Prrafodelista"/>
        <w:numPr>
          <w:ilvl w:val="3"/>
          <w:numId w:val="35"/>
        </w:numPr>
        <w:spacing w:line="240" w:lineRule="auto"/>
        <w:jc w:val="both"/>
        <w:rPr>
          <w:rFonts w:cs="Arial"/>
          <w:szCs w:val="24"/>
        </w:rPr>
      </w:pPr>
      <w:r w:rsidRPr="00EC2D74">
        <w:rPr>
          <w:rFonts w:cs="Arial"/>
          <w:szCs w:val="24"/>
        </w:rPr>
        <w:t>Terapias grupales con enfoque cognitivo-conductual para el fortalecimiento de las capacidades cognitivas y socioemocionales de los jóvenes.</w:t>
      </w:r>
    </w:p>
    <w:p w14:paraId="561FA312" w14:textId="30E4336E" w:rsidR="00EC2D74" w:rsidRPr="0063405E" w:rsidRDefault="00EC2D74" w:rsidP="0063405E">
      <w:pPr>
        <w:pStyle w:val="Prrafodelista"/>
        <w:numPr>
          <w:ilvl w:val="3"/>
          <w:numId w:val="35"/>
        </w:numPr>
        <w:spacing w:line="240" w:lineRule="auto"/>
        <w:jc w:val="both"/>
        <w:rPr>
          <w:rFonts w:cs="Arial"/>
          <w:szCs w:val="24"/>
        </w:rPr>
      </w:pPr>
      <w:r w:rsidRPr="00EC2D74">
        <w:rPr>
          <w:rFonts w:cs="Arial"/>
          <w:szCs w:val="24"/>
        </w:rPr>
        <w:t xml:space="preserve">Talleres de refuerzo en matemáticas. </w:t>
      </w:r>
    </w:p>
    <w:p w14:paraId="71CD20E1" w14:textId="344C37F7" w:rsidR="00EC2D74" w:rsidRPr="00EC2D74" w:rsidRDefault="00EC2D74" w:rsidP="0063405E">
      <w:pPr>
        <w:pStyle w:val="Prrafodelista"/>
        <w:numPr>
          <w:ilvl w:val="3"/>
          <w:numId w:val="35"/>
        </w:numPr>
        <w:spacing w:line="240" w:lineRule="auto"/>
        <w:jc w:val="both"/>
        <w:rPr>
          <w:rFonts w:cs="Arial"/>
          <w:szCs w:val="24"/>
        </w:rPr>
      </w:pPr>
      <w:r w:rsidRPr="00EC2D74">
        <w:rPr>
          <w:rFonts w:cs="Arial"/>
          <w:szCs w:val="24"/>
        </w:rPr>
        <w:t xml:space="preserve">Talleres de refuerzo de los comportamientos al interior de las familias de los adolescentes y jóvenes, a través de intervenciones psicosociales que aporten al ejercicio de validación, comunicación asertiva y regulación emocional.  </w:t>
      </w:r>
    </w:p>
    <w:p w14:paraId="3AB3E563" w14:textId="4D957FD7" w:rsidR="00EC2D74" w:rsidRDefault="00EC2D74" w:rsidP="0063405E">
      <w:pPr>
        <w:pStyle w:val="Prrafodelista"/>
        <w:spacing w:line="240" w:lineRule="auto"/>
        <w:ind w:left="2160"/>
        <w:jc w:val="both"/>
        <w:rPr>
          <w:rFonts w:cs="Arial"/>
          <w:szCs w:val="24"/>
        </w:rPr>
      </w:pPr>
      <w:r w:rsidRPr="00EC2D74">
        <w:rPr>
          <w:rFonts w:cs="Arial"/>
          <w:szCs w:val="24"/>
        </w:rPr>
        <w:t>Con “Cuenta Hasta Diez”, se han atendido a 3.784 adolescentes y jóvenes y se ha desarrollado un protocolo para el desarrollo de cada componente y un modelo de evaluación y seguimiento para la implementación de dichos protocolos.</w:t>
      </w:r>
    </w:p>
    <w:p w14:paraId="7B5626C8" w14:textId="331AB208" w:rsidR="00EC2D74" w:rsidRDefault="00EC2D74" w:rsidP="0063405E">
      <w:pPr>
        <w:pStyle w:val="Prrafodelista"/>
        <w:spacing w:line="240" w:lineRule="auto"/>
        <w:ind w:left="2160"/>
        <w:jc w:val="both"/>
        <w:rPr>
          <w:rFonts w:cs="Arial"/>
          <w:szCs w:val="24"/>
        </w:rPr>
      </w:pPr>
    </w:p>
    <w:p w14:paraId="59559BEE" w14:textId="12563B55" w:rsidR="00EC2D74" w:rsidRDefault="00EC2D74" w:rsidP="0063405E">
      <w:pPr>
        <w:pStyle w:val="Prrafodelista"/>
        <w:numPr>
          <w:ilvl w:val="2"/>
          <w:numId w:val="35"/>
        </w:numPr>
        <w:spacing w:line="240" w:lineRule="auto"/>
        <w:jc w:val="both"/>
        <w:rPr>
          <w:rFonts w:cs="Arial"/>
          <w:szCs w:val="24"/>
        </w:rPr>
      </w:pPr>
      <w:r w:rsidRPr="00766D50">
        <w:rPr>
          <w:rFonts w:cs="Arial"/>
          <w:iCs/>
          <w:color w:val="000000" w:themeColor="text1"/>
        </w:rPr>
        <w:t>“En la Juega”</w:t>
      </w:r>
      <w:r w:rsidRPr="00766D50">
        <w:rPr>
          <w:rFonts w:cs="Arial"/>
          <w:color w:val="000000" w:themeColor="text1"/>
        </w:rPr>
        <w:t>:</w:t>
      </w:r>
      <w:r>
        <w:rPr>
          <w:rFonts w:cs="Arial"/>
          <w:color w:val="000000" w:themeColor="text1"/>
        </w:rPr>
        <w:t xml:space="preserve"> Es un modelo que busca prevenir la vinculación de los jóvenes con cualquier actividad delictiva a través del </w:t>
      </w:r>
      <w:r w:rsidRPr="00A22A29">
        <w:rPr>
          <w:rFonts w:cs="Arial"/>
          <w:color w:val="000000" w:themeColor="text1"/>
        </w:rPr>
        <w:t>uso del deporte, el trabajo en equipo, los retos cooperativos, partido</w:t>
      </w:r>
      <w:r>
        <w:rPr>
          <w:rFonts w:cs="Arial"/>
          <w:color w:val="000000" w:themeColor="text1"/>
        </w:rPr>
        <w:t>s</w:t>
      </w:r>
      <w:r w:rsidRPr="00A22A29">
        <w:rPr>
          <w:rFonts w:cs="Arial"/>
          <w:color w:val="000000" w:themeColor="text1"/>
        </w:rPr>
        <w:t xml:space="preserve"> de tres tiempos y círculos de reflexión</w:t>
      </w:r>
      <w:r>
        <w:rPr>
          <w:rFonts w:cs="Arial"/>
          <w:color w:val="000000" w:themeColor="text1"/>
        </w:rPr>
        <w:t xml:space="preserve"> mediante tres componentes</w:t>
      </w:r>
      <w:r w:rsidRPr="00EC2D74">
        <w:rPr>
          <w:rFonts w:cs="Arial"/>
          <w:szCs w:val="24"/>
        </w:rPr>
        <w:t>:</w:t>
      </w:r>
    </w:p>
    <w:p w14:paraId="5DD7A281" w14:textId="31EBDEEF" w:rsidR="00EC2D74" w:rsidRPr="00EC2D74" w:rsidRDefault="00EC2D74" w:rsidP="0063405E">
      <w:pPr>
        <w:pStyle w:val="Prrafodelista"/>
        <w:numPr>
          <w:ilvl w:val="3"/>
          <w:numId w:val="35"/>
        </w:numPr>
        <w:spacing w:line="240" w:lineRule="auto"/>
        <w:jc w:val="both"/>
        <w:rPr>
          <w:rFonts w:cs="Arial"/>
          <w:szCs w:val="24"/>
        </w:rPr>
      </w:pPr>
      <w:r w:rsidRPr="00EC2D74">
        <w:rPr>
          <w:rFonts w:cs="Arial"/>
          <w:szCs w:val="24"/>
        </w:rPr>
        <w:t>Fortalecer capacidades cognitivas y socioemocionales de los Niños, Niñas, Adolescentes y Jóvenes – NNAJ.</w:t>
      </w:r>
    </w:p>
    <w:p w14:paraId="34821EBB" w14:textId="2B05087E" w:rsidR="00EC2D74" w:rsidRPr="00EC2D74" w:rsidRDefault="00EC2D74" w:rsidP="0063405E">
      <w:pPr>
        <w:pStyle w:val="Prrafodelista"/>
        <w:numPr>
          <w:ilvl w:val="3"/>
          <w:numId w:val="35"/>
        </w:numPr>
        <w:spacing w:line="240" w:lineRule="auto"/>
        <w:jc w:val="both"/>
        <w:rPr>
          <w:rFonts w:cs="Arial"/>
          <w:szCs w:val="24"/>
        </w:rPr>
      </w:pPr>
      <w:r w:rsidRPr="00EC2D74">
        <w:rPr>
          <w:rFonts w:cs="Arial"/>
          <w:szCs w:val="24"/>
        </w:rPr>
        <w:t>Desarrollar el pensamiento lógico matemático con talleres acordes a las necesidades de la población.</w:t>
      </w:r>
    </w:p>
    <w:p w14:paraId="3783E20F" w14:textId="3A398E35" w:rsidR="00EC2D74" w:rsidRPr="00EC2D74" w:rsidRDefault="00EC2D74" w:rsidP="0063405E">
      <w:pPr>
        <w:pStyle w:val="Prrafodelista"/>
        <w:numPr>
          <w:ilvl w:val="3"/>
          <w:numId w:val="35"/>
        </w:numPr>
        <w:spacing w:line="240" w:lineRule="auto"/>
        <w:jc w:val="both"/>
        <w:rPr>
          <w:rFonts w:cs="Arial"/>
          <w:szCs w:val="24"/>
        </w:rPr>
      </w:pPr>
      <w:r w:rsidRPr="00EC2D74">
        <w:rPr>
          <w:rFonts w:cs="Arial"/>
          <w:szCs w:val="24"/>
        </w:rPr>
        <w:t>Reforzar valores positivos y habilidades para la vida de los NNAJ.</w:t>
      </w:r>
    </w:p>
    <w:p w14:paraId="112EE1AE" w14:textId="029BAECE" w:rsidR="00EC2D74" w:rsidRDefault="00EC2D74" w:rsidP="0063405E">
      <w:pPr>
        <w:pStyle w:val="Prrafodelista"/>
        <w:spacing w:line="240" w:lineRule="auto"/>
        <w:ind w:left="2160"/>
        <w:jc w:val="both"/>
        <w:rPr>
          <w:rFonts w:cs="Arial"/>
          <w:szCs w:val="24"/>
        </w:rPr>
      </w:pPr>
      <w:r w:rsidRPr="00EC2D74">
        <w:rPr>
          <w:rFonts w:cs="Arial"/>
          <w:szCs w:val="24"/>
        </w:rPr>
        <w:t>Con esta estrategia se han atendido a 1.238 adolescentes y jóvenes y se ha desarrollado un modelo que integra la actividad física para la prevención de la violencia juvenil en Bogotá.</w:t>
      </w:r>
      <w:r>
        <w:rPr>
          <w:rFonts w:cs="Arial"/>
          <w:szCs w:val="24"/>
        </w:rPr>
        <w:t xml:space="preserve"> </w:t>
      </w:r>
      <w:r w:rsidRPr="00EC2D74">
        <w:rPr>
          <w:rFonts w:cs="Arial"/>
          <w:szCs w:val="24"/>
        </w:rPr>
        <w:t>En total, con el programa para la Prevención de la Violencia Juvenil la Secretaría Distrital de Seguridad, Convivencia y Justicia ha atendido en total 5.022 adolescentes y jóvenes.</w:t>
      </w:r>
    </w:p>
    <w:p w14:paraId="298DD234" w14:textId="3F6A8352" w:rsidR="00766D50" w:rsidRDefault="00766D50" w:rsidP="0063405E">
      <w:pPr>
        <w:pStyle w:val="Prrafodelista"/>
        <w:spacing w:line="240" w:lineRule="auto"/>
        <w:ind w:left="2160"/>
        <w:jc w:val="both"/>
        <w:rPr>
          <w:rFonts w:cs="Arial"/>
          <w:szCs w:val="24"/>
        </w:rPr>
      </w:pPr>
    </w:p>
    <w:p w14:paraId="5649C142" w14:textId="2DE2B8F0" w:rsidR="004156A7" w:rsidRPr="004156A7" w:rsidRDefault="004156A7" w:rsidP="0063405E">
      <w:pPr>
        <w:pStyle w:val="Prrafodelista"/>
        <w:spacing w:after="0" w:line="240" w:lineRule="auto"/>
        <w:jc w:val="center"/>
        <w:rPr>
          <w:rFonts w:cs="Arial"/>
          <w:b/>
          <w:color w:val="000000" w:themeColor="text1"/>
          <w:lang w:val="es-ES"/>
        </w:rPr>
      </w:pPr>
      <w:r w:rsidRPr="004156A7">
        <w:rPr>
          <w:rFonts w:cs="Arial"/>
          <w:b/>
          <w:color w:val="000000" w:themeColor="text1"/>
          <w:lang w:val="es-ES"/>
        </w:rPr>
        <w:t xml:space="preserve">Figura # </w:t>
      </w:r>
      <w:r>
        <w:rPr>
          <w:rFonts w:cs="Arial"/>
          <w:b/>
          <w:color w:val="000000" w:themeColor="text1"/>
          <w:lang w:val="es-ES"/>
        </w:rPr>
        <w:t>6</w:t>
      </w:r>
      <w:r w:rsidRPr="004156A7">
        <w:rPr>
          <w:rFonts w:cs="Arial"/>
          <w:b/>
          <w:color w:val="000000" w:themeColor="text1"/>
          <w:lang w:val="es-ES"/>
        </w:rPr>
        <w:t xml:space="preserve">. </w:t>
      </w:r>
      <w:r>
        <w:rPr>
          <w:rFonts w:cs="Arial"/>
          <w:b/>
          <w:color w:val="000000" w:themeColor="text1"/>
          <w:lang w:val="es-ES"/>
        </w:rPr>
        <w:t>Jóvenes vinculados</w:t>
      </w:r>
      <w:r w:rsidRPr="004156A7">
        <w:rPr>
          <w:rFonts w:cs="Arial"/>
          <w:b/>
          <w:color w:val="000000" w:themeColor="text1"/>
          <w:lang w:val="es-ES"/>
        </w:rPr>
        <w:t xml:space="preserve"> 201</w:t>
      </w:r>
      <w:r>
        <w:rPr>
          <w:rFonts w:cs="Arial"/>
          <w:b/>
          <w:color w:val="000000" w:themeColor="text1"/>
          <w:lang w:val="es-ES"/>
        </w:rPr>
        <w:t>7</w:t>
      </w:r>
      <w:r w:rsidRPr="004156A7">
        <w:rPr>
          <w:rFonts w:cs="Arial"/>
          <w:b/>
          <w:color w:val="000000" w:themeColor="text1"/>
          <w:lang w:val="es-ES"/>
        </w:rPr>
        <w:t>-2019</w:t>
      </w:r>
    </w:p>
    <w:p w14:paraId="743CA9C4" w14:textId="51A520B5" w:rsidR="004156A7" w:rsidRDefault="0063405E" w:rsidP="0063405E">
      <w:pPr>
        <w:pStyle w:val="Prrafodelista"/>
        <w:spacing w:line="240" w:lineRule="auto"/>
        <w:ind w:left="2160"/>
        <w:jc w:val="both"/>
        <w:rPr>
          <w:rFonts w:cs="Arial"/>
          <w:szCs w:val="24"/>
        </w:rPr>
      </w:pPr>
      <w:r>
        <w:rPr>
          <w:noProof/>
          <w:lang w:val="es-ES" w:eastAsia="es-ES"/>
        </w:rPr>
        <w:lastRenderedPageBreak/>
        <w:drawing>
          <wp:anchor distT="0" distB="0" distL="114300" distR="114300" simplePos="0" relativeHeight="251670528" behindDoc="0" locked="0" layoutInCell="1" allowOverlap="1" wp14:anchorId="57F2788F" wp14:editId="272A013D">
            <wp:simplePos x="0" y="0"/>
            <wp:positionH relativeFrom="column">
              <wp:posOffset>1278255</wp:posOffset>
            </wp:positionH>
            <wp:positionV relativeFrom="paragraph">
              <wp:posOffset>55880</wp:posOffset>
            </wp:positionV>
            <wp:extent cx="3404870" cy="2950210"/>
            <wp:effectExtent l="0" t="0" r="5080" b="2540"/>
            <wp:wrapThrough wrapText="bothSides">
              <wp:wrapPolygon edited="0">
                <wp:start x="0" y="0"/>
                <wp:lineTo x="0" y="21479"/>
                <wp:lineTo x="21511" y="21479"/>
                <wp:lineTo x="21511" y="0"/>
                <wp:lineTo x="0" y="0"/>
              </wp:wrapPolygon>
            </wp:wrapThrough>
            <wp:docPr id="3144" name="Gráfico 3144">
              <a:extLst xmlns:a="http://schemas.openxmlformats.org/drawingml/2006/main">
                <a:ext uri="{FF2B5EF4-FFF2-40B4-BE49-F238E27FC236}">
                  <a16:creationId xmlns:a16="http://schemas.microsoft.com/office/drawing/2014/main" id="{064D17D7-4EB7-4E83-AD1F-745AD26A8B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3089443" w14:textId="50406665" w:rsidR="00766D50" w:rsidRPr="00EC2D74" w:rsidRDefault="00766D50" w:rsidP="0063405E">
      <w:pPr>
        <w:pStyle w:val="Prrafodelista"/>
        <w:spacing w:line="240" w:lineRule="auto"/>
        <w:ind w:left="2160"/>
        <w:jc w:val="both"/>
        <w:rPr>
          <w:rFonts w:cs="Arial"/>
          <w:szCs w:val="24"/>
        </w:rPr>
      </w:pPr>
    </w:p>
    <w:p w14:paraId="222C9BA0" w14:textId="77777777" w:rsidR="00EC2D74" w:rsidRDefault="00EC2D74" w:rsidP="0063405E">
      <w:pPr>
        <w:pStyle w:val="Prrafodelista"/>
        <w:spacing w:line="240" w:lineRule="auto"/>
        <w:ind w:left="2160"/>
        <w:jc w:val="both"/>
        <w:rPr>
          <w:rFonts w:cs="Arial"/>
          <w:szCs w:val="24"/>
        </w:rPr>
      </w:pPr>
    </w:p>
    <w:p w14:paraId="3CF99352" w14:textId="77777777" w:rsidR="00EC2D74" w:rsidRPr="00EC2D74" w:rsidRDefault="00EC2D74" w:rsidP="0063405E">
      <w:pPr>
        <w:pStyle w:val="Prrafodelista"/>
        <w:spacing w:line="240" w:lineRule="auto"/>
        <w:ind w:left="2160"/>
        <w:jc w:val="both"/>
        <w:rPr>
          <w:rFonts w:cs="Arial"/>
          <w:szCs w:val="24"/>
        </w:rPr>
      </w:pPr>
    </w:p>
    <w:p w14:paraId="06B74CE7" w14:textId="5422AB4A" w:rsidR="0015145B" w:rsidRDefault="0015145B" w:rsidP="0063405E">
      <w:pPr>
        <w:pStyle w:val="Prrafodelista"/>
        <w:spacing w:line="240" w:lineRule="auto"/>
        <w:jc w:val="both"/>
        <w:rPr>
          <w:rFonts w:cstheme="minorHAnsi"/>
        </w:rPr>
      </w:pPr>
    </w:p>
    <w:p w14:paraId="51121138" w14:textId="3D2B7B4B" w:rsidR="00766D50" w:rsidRDefault="00766D50" w:rsidP="0063405E">
      <w:pPr>
        <w:pStyle w:val="Prrafodelista"/>
        <w:spacing w:line="240" w:lineRule="auto"/>
        <w:jc w:val="both"/>
        <w:rPr>
          <w:rFonts w:cstheme="minorHAnsi"/>
        </w:rPr>
      </w:pPr>
    </w:p>
    <w:p w14:paraId="4825BFF1" w14:textId="6B415644" w:rsidR="00766D50" w:rsidRDefault="00766D50" w:rsidP="0063405E">
      <w:pPr>
        <w:pStyle w:val="Prrafodelista"/>
        <w:spacing w:line="240" w:lineRule="auto"/>
        <w:jc w:val="both"/>
        <w:rPr>
          <w:rFonts w:cstheme="minorHAnsi"/>
        </w:rPr>
      </w:pPr>
    </w:p>
    <w:p w14:paraId="4497671D" w14:textId="7F5B9979" w:rsidR="00766D50" w:rsidRDefault="00766D50" w:rsidP="0063405E">
      <w:pPr>
        <w:pStyle w:val="Prrafodelista"/>
        <w:spacing w:line="240" w:lineRule="auto"/>
        <w:jc w:val="both"/>
        <w:rPr>
          <w:rFonts w:cstheme="minorHAnsi"/>
        </w:rPr>
      </w:pPr>
    </w:p>
    <w:p w14:paraId="781BC445" w14:textId="5C457B15" w:rsidR="00766D50" w:rsidRDefault="00766D50" w:rsidP="0063405E">
      <w:pPr>
        <w:pStyle w:val="Prrafodelista"/>
        <w:spacing w:line="240" w:lineRule="auto"/>
        <w:jc w:val="both"/>
        <w:rPr>
          <w:rFonts w:cstheme="minorHAnsi"/>
        </w:rPr>
      </w:pPr>
    </w:p>
    <w:p w14:paraId="708FC3BF" w14:textId="56555E89" w:rsidR="00766D50" w:rsidRDefault="00766D50" w:rsidP="0063405E">
      <w:pPr>
        <w:pStyle w:val="Prrafodelista"/>
        <w:spacing w:line="240" w:lineRule="auto"/>
        <w:jc w:val="both"/>
        <w:rPr>
          <w:rFonts w:cstheme="minorHAnsi"/>
        </w:rPr>
      </w:pPr>
    </w:p>
    <w:p w14:paraId="24189A31" w14:textId="5EE01D45" w:rsidR="00766D50" w:rsidRDefault="00766D50" w:rsidP="0063405E">
      <w:pPr>
        <w:pStyle w:val="Prrafodelista"/>
        <w:spacing w:line="240" w:lineRule="auto"/>
        <w:jc w:val="both"/>
        <w:rPr>
          <w:rFonts w:cstheme="minorHAnsi"/>
        </w:rPr>
      </w:pPr>
    </w:p>
    <w:p w14:paraId="56CFC73E" w14:textId="7C1B73EE" w:rsidR="00766D50" w:rsidRDefault="00766D50" w:rsidP="0063405E">
      <w:pPr>
        <w:pStyle w:val="Prrafodelista"/>
        <w:spacing w:line="240" w:lineRule="auto"/>
        <w:jc w:val="both"/>
        <w:rPr>
          <w:rFonts w:cstheme="minorHAnsi"/>
        </w:rPr>
      </w:pPr>
    </w:p>
    <w:p w14:paraId="443B6C91" w14:textId="36C0E14D" w:rsidR="00766D50" w:rsidRDefault="00766D50" w:rsidP="0063405E">
      <w:pPr>
        <w:pStyle w:val="Prrafodelista"/>
        <w:spacing w:line="240" w:lineRule="auto"/>
        <w:jc w:val="both"/>
        <w:rPr>
          <w:rFonts w:cstheme="minorHAnsi"/>
        </w:rPr>
      </w:pPr>
    </w:p>
    <w:p w14:paraId="20900CA9" w14:textId="51426006" w:rsidR="00766D50" w:rsidRDefault="00766D50" w:rsidP="0063405E">
      <w:pPr>
        <w:pStyle w:val="Prrafodelista"/>
        <w:spacing w:line="240" w:lineRule="auto"/>
        <w:jc w:val="both"/>
        <w:rPr>
          <w:rFonts w:cstheme="minorHAnsi"/>
        </w:rPr>
      </w:pPr>
    </w:p>
    <w:p w14:paraId="7A6A9B98" w14:textId="66E0191E" w:rsidR="00766D50" w:rsidRDefault="00766D50" w:rsidP="0063405E">
      <w:pPr>
        <w:pStyle w:val="Prrafodelista"/>
        <w:spacing w:line="240" w:lineRule="auto"/>
        <w:jc w:val="both"/>
        <w:rPr>
          <w:rFonts w:cstheme="minorHAnsi"/>
        </w:rPr>
      </w:pPr>
    </w:p>
    <w:p w14:paraId="3E307A53" w14:textId="64D1A79A" w:rsidR="00766D50" w:rsidRDefault="00766D50" w:rsidP="0063405E">
      <w:pPr>
        <w:pStyle w:val="Prrafodelista"/>
        <w:spacing w:line="240" w:lineRule="auto"/>
        <w:jc w:val="both"/>
        <w:rPr>
          <w:rFonts w:cstheme="minorHAnsi"/>
        </w:rPr>
      </w:pPr>
    </w:p>
    <w:p w14:paraId="310D34D1" w14:textId="77777777" w:rsidR="00766D50" w:rsidRDefault="00766D50" w:rsidP="0063405E">
      <w:pPr>
        <w:pStyle w:val="Prrafodelista"/>
        <w:spacing w:line="240" w:lineRule="auto"/>
        <w:jc w:val="both"/>
        <w:rPr>
          <w:rFonts w:cs="Arial"/>
          <w:color w:val="000000" w:themeColor="text1"/>
          <w:sz w:val="12"/>
          <w:szCs w:val="12"/>
          <w:lang w:val="es-ES"/>
        </w:rPr>
      </w:pPr>
    </w:p>
    <w:p w14:paraId="54FD5A95" w14:textId="77777777" w:rsidR="0063405E" w:rsidRDefault="0063405E" w:rsidP="0063405E">
      <w:pPr>
        <w:pStyle w:val="Prrafodelista"/>
        <w:spacing w:line="240" w:lineRule="auto"/>
        <w:jc w:val="center"/>
        <w:rPr>
          <w:rFonts w:cs="Arial"/>
          <w:color w:val="000000" w:themeColor="text1"/>
          <w:sz w:val="16"/>
          <w:szCs w:val="12"/>
          <w:lang w:val="es-ES"/>
        </w:rPr>
      </w:pPr>
    </w:p>
    <w:p w14:paraId="1B640603" w14:textId="77777777" w:rsidR="0063405E" w:rsidRDefault="0063405E" w:rsidP="0063405E">
      <w:pPr>
        <w:pStyle w:val="Prrafodelista"/>
        <w:spacing w:line="240" w:lineRule="auto"/>
        <w:jc w:val="center"/>
        <w:rPr>
          <w:rFonts w:cs="Arial"/>
          <w:color w:val="000000" w:themeColor="text1"/>
          <w:sz w:val="16"/>
          <w:szCs w:val="12"/>
          <w:lang w:val="es-ES"/>
        </w:rPr>
      </w:pPr>
    </w:p>
    <w:p w14:paraId="5A17BCE6" w14:textId="1688DBC6" w:rsidR="00766D50" w:rsidRPr="004156A7" w:rsidRDefault="00766D50" w:rsidP="0063405E">
      <w:pPr>
        <w:pStyle w:val="Prrafodelista"/>
        <w:spacing w:line="240" w:lineRule="auto"/>
        <w:jc w:val="center"/>
        <w:rPr>
          <w:rFonts w:cs="Arial"/>
          <w:color w:val="000000" w:themeColor="text1"/>
          <w:sz w:val="16"/>
          <w:szCs w:val="12"/>
          <w:lang w:val="es-ES"/>
        </w:rPr>
      </w:pPr>
      <w:r w:rsidRPr="004156A7">
        <w:rPr>
          <w:rFonts w:cs="Arial"/>
          <w:color w:val="000000" w:themeColor="text1"/>
          <w:sz w:val="16"/>
          <w:szCs w:val="12"/>
          <w:lang w:val="es-ES"/>
        </w:rPr>
        <w:t>Fuente: Secretaría Distrital de Seguridad, Convivencia y Justicia. Fecha de corte: 30/07/2019.</w:t>
      </w:r>
    </w:p>
    <w:p w14:paraId="3067B052" w14:textId="77777777" w:rsidR="00766D50" w:rsidRPr="004156A7" w:rsidRDefault="00766D50" w:rsidP="0063405E">
      <w:pPr>
        <w:pStyle w:val="Prrafodelista"/>
        <w:spacing w:line="240" w:lineRule="auto"/>
        <w:jc w:val="both"/>
        <w:rPr>
          <w:rFonts w:cstheme="minorHAnsi"/>
          <w:sz w:val="28"/>
        </w:rPr>
      </w:pPr>
    </w:p>
    <w:p w14:paraId="38BE0E8B" w14:textId="77777777" w:rsidR="00766D50" w:rsidRPr="00766D50" w:rsidRDefault="00766D50" w:rsidP="0063405E">
      <w:pPr>
        <w:pStyle w:val="Prrafodelista"/>
        <w:numPr>
          <w:ilvl w:val="1"/>
          <w:numId w:val="35"/>
        </w:numPr>
        <w:spacing w:line="240" w:lineRule="auto"/>
        <w:jc w:val="both"/>
        <w:rPr>
          <w:rFonts w:cstheme="minorHAnsi"/>
          <w:b/>
          <w:lang w:val="es-ES"/>
        </w:rPr>
      </w:pPr>
      <w:r w:rsidRPr="00766D50">
        <w:rPr>
          <w:rFonts w:cstheme="minorHAnsi"/>
          <w:b/>
        </w:rPr>
        <w:t>Estrategia Modelo de Intervención en TAC</w:t>
      </w:r>
      <w:r>
        <w:rPr>
          <w:rFonts w:cstheme="minorHAnsi"/>
          <w:b/>
        </w:rPr>
        <w:t xml:space="preserve">: </w:t>
      </w:r>
      <w:r w:rsidRPr="00766D50">
        <w:rPr>
          <w:rFonts w:cstheme="minorHAnsi"/>
        </w:rPr>
        <w:t>El Modelo de intervención en TAC es una estrategia que desarrolla acciones con diferentes entidades del Distrito para contribuir en la disminución de delitos como: el homicidio, el hurto, las lesiones personales y el microtráfico que se concentran en territorios donde confluyen diferentes dinámicas que facilitan la ocurrencia de estos.</w:t>
      </w:r>
      <w:r w:rsidRPr="00766D50">
        <w:rPr>
          <w:rFonts w:cstheme="minorHAnsi"/>
          <w:b/>
        </w:rPr>
        <w:t xml:space="preserve"> </w:t>
      </w:r>
      <w:r w:rsidRPr="00766D50">
        <w:rPr>
          <w:rFonts w:cstheme="minorHAnsi"/>
        </w:rPr>
        <w:t>Durante los últimos cuatro años se intervinieron de 17 TAC, 14 de estos de manera permanente y 3 en los cuales se implementó el plan de acción por un período de tiempo determinado, obteniendo los siguientes resultados:</w:t>
      </w:r>
      <w:r w:rsidRPr="00766D50">
        <w:rPr>
          <w:rFonts w:cstheme="minorHAnsi"/>
          <w:lang w:val="es-ES"/>
        </w:rPr>
        <w:t xml:space="preserve">                                                                                                             </w:t>
      </w:r>
    </w:p>
    <w:p w14:paraId="5344B263" w14:textId="77777777" w:rsidR="00766D50" w:rsidRPr="00766D50" w:rsidRDefault="00766D50" w:rsidP="0063405E">
      <w:pPr>
        <w:pStyle w:val="Prrafodelista"/>
        <w:numPr>
          <w:ilvl w:val="2"/>
          <w:numId w:val="35"/>
        </w:numPr>
        <w:spacing w:line="240" w:lineRule="auto"/>
        <w:jc w:val="both"/>
        <w:rPr>
          <w:rFonts w:cstheme="minorHAnsi"/>
        </w:rPr>
      </w:pPr>
      <w:r w:rsidRPr="00766D50">
        <w:rPr>
          <w:rFonts w:cstheme="minorHAnsi"/>
        </w:rPr>
        <w:t>Traslado voluntario de más de 700 ciudadanos habitantes de calle – CHC mediante las jornadas adelantadas en conjunto con la Secretaría Distrital de Integración Social.</w:t>
      </w:r>
    </w:p>
    <w:p w14:paraId="0D7C657F" w14:textId="77777777" w:rsidR="00766D50" w:rsidRPr="00766D50" w:rsidRDefault="00766D50" w:rsidP="0063405E">
      <w:pPr>
        <w:pStyle w:val="Prrafodelista"/>
        <w:numPr>
          <w:ilvl w:val="2"/>
          <w:numId w:val="35"/>
        </w:numPr>
        <w:spacing w:line="240" w:lineRule="auto"/>
        <w:jc w:val="both"/>
        <w:rPr>
          <w:rFonts w:cstheme="minorHAnsi"/>
        </w:rPr>
      </w:pPr>
      <w:r w:rsidRPr="00766D50">
        <w:rPr>
          <w:rFonts w:cstheme="minorHAnsi"/>
        </w:rPr>
        <w:t>Restablecimiento de derechos a aproximadamente 200 menores con el apoyo del Instituto Colombiano de Bienestar Familiar – ICBF.</w:t>
      </w:r>
    </w:p>
    <w:p w14:paraId="784E7154" w14:textId="01D139F4" w:rsidR="00766D50" w:rsidRPr="00766D50" w:rsidRDefault="00766D50" w:rsidP="0063405E">
      <w:pPr>
        <w:pStyle w:val="Prrafodelista"/>
        <w:numPr>
          <w:ilvl w:val="2"/>
          <w:numId w:val="35"/>
        </w:numPr>
        <w:spacing w:line="240" w:lineRule="auto"/>
        <w:jc w:val="both"/>
        <w:rPr>
          <w:rFonts w:cstheme="minorHAnsi"/>
        </w:rPr>
      </w:pPr>
      <w:r w:rsidRPr="00766D50">
        <w:rPr>
          <w:rFonts w:cstheme="minorHAnsi"/>
        </w:rPr>
        <w:t>Incautación de más de 150.000 dosis de droga por parte de las entidades competentes.</w:t>
      </w:r>
    </w:p>
    <w:p w14:paraId="745EAC8E" w14:textId="5F8782D2" w:rsidR="00766D50" w:rsidRPr="00766D50" w:rsidRDefault="00766D50" w:rsidP="0063405E">
      <w:pPr>
        <w:pStyle w:val="Prrafodelista"/>
        <w:numPr>
          <w:ilvl w:val="2"/>
          <w:numId w:val="35"/>
        </w:numPr>
        <w:spacing w:line="240" w:lineRule="auto"/>
        <w:jc w:val="both"/>
        <w:rPr>
          <w:rFonts w:cstheme="minorHAnsi"/>
        </w:rPr>
      </w:pPr>
      <w:r w:rsidRPr="00766D50">
        <w:rPr>
          <w:rFonts w:cstheme="minorHAnsi"/>
        </w:rPr>
        <w:t>Atención de más de 20.000 ciudadanos a través de las ferias de servicios.</w:t>
      </w:r>
    </w:p>
    <w:p w14:paraId="1794BD50" w14:textId="77777777" w:rsidR="004156A7" w:rsidRDefault="004156A7" w:rsidP="0063405E">
      <w:pPr>
        <w:pStyle w:val="Prrafodelista"/>
        <w:spacing w:after="0" w:line="240" w:lineRule="auto"/>
        <w:rPr>
          <w:rFonts w:cs="Arial"/>
          <w:b/>
          <w:color w:val="000000" w:themeColor="text1"/>
          <w:lang w:val="es-ES"/>
        </w:rPr>
      </w:pPr>
    </w:p>
    <w:p w14:paraId="6B7C4548" w14:textId="5ABA577D" w:rsidR="004156A7" w:rsidRPr="004156A7" w:rsidRDefault="004156A7" w:rsidP="0063405E">
      <w:pPr>
        <w:pStyle w:val="Prrafodelista"/>
        <w:spacing w:after="0" w:line="240" w:lineRule="auto"/>
        <w:jc w:val="center"/>
        <w:rPr>
          <w:rFonts w:cs="Arial"/>
          <w:b/>
          <w:color w:val="000000" w:themeColor="text1"/>
          <w:lang w:val="es-ES"/>
        </w:rPr>
      </w:pPr>
      <w:r w:rsidRPr="004156A7">
        <w:rPr>
          <w:rFonts w:cs="Arial"/>
          <w:b/>
          <w:color w:val="000000" w:themeColor="text1"/>
          <w:lang w:val="es-ES"/>
        </w:rPr>
        <w:t xml:space="preserve">Figura # </w:t>
      </w:r>
      <w:r>
        <w:rPr>
          <w:rFonts w:cs="Arial"/>
          <w:b/>
          <w:color w:val="000000" w:themeColor="text1"/>
          <w:lang w:val="es-ES"/>
        </w:rPr>
        <w:t>6</w:t>
      </w:r>
      <w:r w:rsidRPr="004156A7">
        <w:rPr>
          <w:rFonts w:cs="Arial"/>
          <w:b/>
          <w:color w:val="000000" w:themeColor="text1"/>
          <w:lang w:val="es-ES"/>
        </w:rPr>
        <w:t xml:space="preserve">. </w:t>
      </w:r>
      <w:r>
        <w:rPr>
          <w:rFonts w:cs="Arial"/>
          <w:b/>
          <w:color w:val="000000" w:themeColor="text1"/>
          <w:lang w:val="es-ES"/>
        </w:rPr>
        <w:t>TAC</w:t>
      </w:r>
      <w:r w:rsidRPr="004156A7">
        <w:rPr>
          <w:rFonts w:cs="Arial"/>
          <w:b/>
          <w:color w:val="000000" w:themeColor="text1"/>
          <w:lang w:val="es-ES"/>
        </w:rPr>
        <w:t xml:space="preserve"> 2016-2019</w:t>
      </w:r>
    </w:p>
    <w:p w14:paraId="68E578D7" w14:textId="688148EF" w:rsidR="00766D50" w:rsidRPr="00766D50" w:rsidRDefault="00766D50" w:rsidP="0063405E">
      <w:pPr>
        <w:pStyle w:val="Prrafodelista"/>
        <w:spacing w:line="240" w:lineRule="auto"/>
        <w:ind w:left="2160"/>
        <w:jc w:val="both"/>
        <w:rPr>
          <w:rFonts w:cstheme="minorHAnsi"/>
          <w:b/>
        </w:rPr>
      </w:pPr>
    </w:p>
    <w:p w14:paraId="4A43EA0F" w14:textId="1E5FE302" w:rsidR="00766D50" w:rsidRDefault="00766D50" w:rsidP="0063405E">
      <w:pPr>
        <w:pStyle w:val="Prrafodelista"/>
        <w:spacing w:line="240" w:lineRule="auto"/>
        <w:ind w:left="1440"/>
        <w:jc w:val="both"/>
        <w:rPr>
          <w:rFonts w:cstheme="minorHAnsi"/>
          <w:b/>
        </w:rPr>
      </w:pPr>
      <w:r>
        <w:rPr>
          <w:noProof/>
          <w:lang w:val="es-ES" w:eastAsia="es-ES"/>
        </w:rPr>
        <w:drawing>
          <wp:anchor distT="0" distB="0" distL="114300" distR="114300" simplePos="0" relativeHeight="251672576" behindDoc="0" locked="0" layoutInCell="1" allowOverlap="1" wp14:anchorId="4FA2C8CF" wp14:editId="43851E37">
            <wp:simplePos x="0" y="0"/>
            <wp:positionH relativeFrom="margin">
              <wp:posOffset>1463040</wp:posOffset>
            </wp:positionH>
            <wp:positionV relativeFrom="paragraph">
              <wp:posOffset>13335</wp:posOffset>
            </wp:positionV>
            <wp:extent cx="3515995" cy="1429385"/>
            <wp:effectExtent l="0" t="0" r="8255" b="18415"/>
            <wp:wrapThrough wrapText="bothSides">
              <wp:wrapPolygon edited="0">
                <wp:start x="0" y="0"/>
                <wp:lineTo x="0" y="21590"/>
                <wp:lineTo x="21534" y="21590"/>
                <wp:lineTo x="21534" y="0"/>
                <wp:lineTo x="0" y="0"/>
              </wp:wrapPolygon>
            </wp:wrapThrough>
            <wp:docPr id="451" name="Gráfico 451">
              <a:extLst xmlns:a="http://schemas.openxmlformats.org/drawingml/2006/main">
                <a:ext uri="{FF2B5EF4-FFF2-40B4-BE49-F238E27FC236}">
                  <a16:creationId xmlns:a16="http://schemas.microsoft.com/office/drawing/2014/main" id="{2F0361BA-57EF-41C3-A308-2D3CDA5472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5872141" w14:textId="298F04AD" w:rsidR="00766D50" w:rsidRDefault="00766D50" w:rsidP="0063405E">
      <w:pPr>
        <w:pStyle w:val="Prrafodelista"/>
        <w:spacing w:line="240" w:lineRule="auto"/>
        <w:ind w:left="1440"/>
        <w:jc w:val="both"/>
        <w:rPr>
          <w:rFonts w:cstheme="minorHAnsi"/>
          <w:b/>
        </w:rPr>
      </w:pPr>
    </w:p>
    <w:p w14:paraId="6EB33BF5" w14:textId="11366BE1" w:rsidR="00766D50" w:rsidRDefault="00766D50" w:rsidP="0063405E">
      <w:pPr>
        <w:pStyle w:val="Prrafodelista"/>
        <w:spacing w:line="240" w:lineRule="auto"/>
        <w:ind w:left="1440"/>
        <w:jc w:val="both"/>
        <w:rPr>
          <w:rFonts w:cstheme="minorHAnsi"/>
          <w:b/>
        </w:rPr>
      </w:pPr>
    </w:p>
    <w:p w14:paraId="4C5FB572" w14:textId="377CE240" w:rsidR="00766D50" w:rsidRDefault="00766D50" w:rsidP="0063405E">
      <w:pPr>
        <w:pStyle w:val="Prrafodelista"/>
        <w:spacing w:line="240" w:lineRule="auto"/>
        <w:ind w:left="1440"/>
        <w:jc w:val="both"/>
        <w:rPr>
          <w:rFonts w:cstheme="minorHAnsi"/>
          <w:b/>
        </w:rPr>
      </w:pPr>
    </w:p>
    <w:p w14:paraId="367514D7" w14:textId="2AE5C21B" w:rsidR="00766D50" w:rsidRDefault="00766D50" w:rsidP="0063405E">
      <w:pPr>
        <w:pStyle w:val="Prrafodelista"/>
        <w:spacing w:line="240" w:lineRule="auto"/>
        <w:ind w:left="1440"/>
        <w:jc w:val="both"/>
        <w:rPr>
          <w:rFonts w:cstheme="minorHAnsi"/>
          <w:b/>
        </w:rPr>
      </w:pPr>
    </w:p>
    <w:p w14:paraId="4600F688" w14:textId="4E3F0B6D" w:rsidR="00766D50" w:rsidRDefault="00766D50" w:rsidP="0063405E">
      <w:pPr>
        <w:pStyle w:val="Prrafodelista"/>
        <w:spacing w:line="240" w:lineRule="auto"/>
        <w:ind w:left="1440"/>
        <w:jc w:val="both"/>
        <w:rPr>
          <w:rFonts w:cstheme="minorHAnsi"/>
          <w:b/>
        </w:rPr>
      </w:pPr>
    </w:p>
    <w:p w14:paraId="63A63B06" w14:textId="77777777" w:rsidR="00766D50" w:rsidRDefault="00766D50" w:rsidP="0063405E">
      <w:pPr>
        <w:pStyle w:val="Prrafodelista"/>
        <w:spacing w:line="240" w:lineRule="auto"/>
        <w:ind w:left="1440"/>
        <w:jc w:val="both"/>
        <w:rPr>
          <w:rFonts w:cstheme="minorHAnsi"/>
          <w:b/>
        </w:rPr>
      </w:pPr>
    </w:p>
    <w:p w14:paraId="1889973F" w14:textId="50E28D9F" w:rsidR="00766D50" w:rsidRDefault="00766D50" w:rsidP="0063405E">
      <w:pPr>
        <w:pStyle w:val="Prrafodelista"/>
        <w:spacing w:line="240" w:lineRule="auto"/>
        <w:ind w:left="1440"/>
        <w:jc w:val="both"/>
        <w:rPr>
          <w:rFonts w:cstheme="minorHAnsi"/>
          <w:b/>
        </w:rPr>
      </w:pPr>
    </w:p>
    <w:p w14:paraId="3DCDCB46" w14:textId="77777777" w:rsidR="0063405E" w:rsidRDefault="00766D50" w:rsidP="0063405E">
      <w:pPr>
        <w:pStyle w:val="Prrafodelista"/>
        <w:spacing w:line="240" w:lineRule="auto"/>
        <w:ind w:left="1440"/>
        <w:jc w:val="both"/>
        <w:rPr>
          <w:rFonts w:cs="Arial"/>
          <w:color w:val="000000" w:themeColor="text1"/>
          <w:sz w:val="16"/>
          <w:szCs w:val="12"/>
          <w:lang w:val="es-ES"/>
        </w:rPr>
      </w:pPr>
      <w:r w:rsidRPr="004156A7">
        <w:rPr>
          <w:rFonts w:cs="Arial"/>
          <w:color w:val="000000" w:themeColor="text1"/>
          <w:sz w:val="16"/>
          <w:szCs w:val="12"/>
          <w:lang w:val="es-ES"/>
        </w:rPr>
        <w:t xml:space="preserve">                                   </w:t>
      </w:r>
    </w:p>
    <w:p w14:paraId="5EFB6E72" w14:textId="64E4EFBB" w:rsidR="00766D50" w:rsidRPr="004156A7" w:rsidRDefault="00766D50" w:rsidP="0063405E">
      <w:pPr>
        <w:pStyle w:val="Prrafodelista"/>
        <w:spacing w:line="240" w:lineRule="auto"/>
        <w:ind w:left="1440"/>
        <w:jc w:val="both"/>
        <w:rPr>
          <w:rFonts w:cs="Arial"/>
          <w:color w:val="000000" w:themeColor="text1"/>
          <w:sz w:val="16"/>
          <w:szCs w:val="12"/>
          <w:lang w:val="es-ES"/>
        </w:rPr>
      </w:pPr>
      <w:r w:rsidRPr="004156A7">
        <w:rPr>
          <w:rFonts w:cs="Arial"/>
          <w:color w:val="000000" w:themeColor="text1"/>
          <w:sz w:val="16"/>
          <w:szCs w:val="12"/>
          <w:lang w:val="es-ES"/>
        </w:rPr>
        <w:lastRenderedPageBreak/>
        <w:t>Fuente: Secretaría Distrital de Seguridad, Convivencia y Justicia. Fecha de corte: 31/07/2019</w:t>
      </w:r>
    </w:p>
    <w:p w14:paraId="20B80A65" w14:textId="77777777" w:rsidR="00766D50" w:rsidRDefault="00766D50" w:rsidP="0063405E">
      <w:pPr>
        <w:pStyle w:val="Prrafodelista"/>
        <w:spacing w:line="240" w:lineRule="auto"/>
        <w:ind w:left="1440"/>
        <w:jc w:val="both"/>
        <w:rPr>
          <w:rFonts w:cstheme="minorHAnsi"/>
          <w:b/>
        </w:rPr>
      </w:pPr>
    </w:p>
    <w:p w14:paraId="6D7D0034" w14:textId="14F7821C" w:rsidR="006E6ACF" w:rsidRPr="006E6ACF" w:rsidRDefault="00766D50" w:rsidP="0063405E">
      <w:pPr>
        <w:pStyle w:val="Prrafodelista"/>
        <w:numPr>
          <w:ilvl w:val="1"/>
          <w:numId w:val="35"/>
        </w:numPr>
        <w:spacing w:line="240" w:lineRule="auto"/>
        <w:jc w:val="both"/>
        <w:rPr>
          <w:rFonts w:cs="Arial"/>
        </w:rPr>
      </w:pPr>
      <w:r w:rsidRPr="006E6ACF">
        <w:rPr>
          <w:rFonts w:cstheme="minorHAnsi"/>
          <w:b/>
        </w:rPr>
        <w:t xml:space="preserve">Fortalecimiento a la Vigilancia y Control de delitos contra la vida: </w:t>
      </w:r>
      <w:r w:rsidR="006E6ACF" w:rsidRPr="006E6ACF">
        <w:rPr>
          <w:rFonts w:cs="Arial"/>
        </w:rPr>
        <w:t>La estrategia busca establecer una interacción directa con autoridades de Policía de Vigilancia y de Policía Judicial para fortalecer sus capacidades, generar un mayor nivel de articulación interinstitucional entre ellas mismas y apoyar sus intervenciones territoriales a través de la participación de múltiples sectores tanto distritales, como regionales y nacionales.</w:t>
      </w:r>
    </w:p>
    <w:p w14:paraId="46BD16B6" w14:textId="45A01070" w:rsidR="006E6ACF" w:rsidRPr="00EE2586" w:rsidRDefault="006E6ACF" w:rsidP="0063405E">
      <w:pPr>
        <w:spacing w:line="240" w:lineRule="auto"/>
        <w:ind w:left="1416"/>
        <w:jc w:val="both"/>
        <w:rPr>
          <w:rFonts w:cs="Arial"/>
        </w:rPr>
      </w:pPr>
      <w:r w:rsidRPr="00EE2586">
        <w:rPr>
          <w:rFonts w:cs="Arial"/>
        </w:rPr>
        <w:t xml:space="preserve">Así, el objetivo es disminución en la comisión de delitos contra la vida como homicidio y lesiones personales generando condiciones de garantía que permitan minimizar la ocurrencia de los delitos contra la vida, a través de acciones de control y vigilancia en zonas de concentración del delito, propiciar la articulación entre entidades, con el fin de hacer mejores y más eficientes controles, movilizar a las entidades para realizar acciones de control en los lugares, las fechas y escenarios priorizados por la Secretaría Distrital de Seguridad, Convivencia y Justicia, y propiciar acciones de control junto con la Policía Metropolitana de Bogotá en entornos priorizados por la SSCJ como entornos escolares, parques y estaciones del Sistema Transmilenio. </w:t>
      </w:r>
    </w:p>
    <w:p w14:paraId="5F1D200D" w14:textId="63DC59B2" w:rsidR="006E6ACF" w:rsidRPr="00EE2586" w:rsidRDefault="006E6ACF" w:rsidP="0063405E">
      <w:pPr>
        <w:spacing w:line="240" w:lineRule="auto"/>
        <w:ind w:left="1416"/>
        <w:jc w:val="both"/>
        <w:rPr>
          <w:rFonts w:cs="Arial"/>
        </w:rPr>
      </w:pPr>
      <w:r w:rsidRPr="00EE2586">
        <w:rPr>
          <w:rFonts w:cs="Arial"/>
        </w:rPr>
        <w:t>Las acciones para el control de lesiones personales se enfocan en los escenarios identificados por la Oficina de Análisis de Información y Estudios Estratégicos (OAIEE) en los que hay mayor ocurrencia del delito. Por lo cual, la Dirección de Seguridad ha priorizado el liderazgo y realización de visitas multidisciplinarias de Inspección, Vigilancia y Control (IVC) a establecimientos de comercio de alto impacto.</w:t>
      </w:r>
    </w:p>
    <w:p w14:paraId="615C85C7" w14:textId="665EF7B4" w:rsidR="00766D50" w:rsidRDefault="006E6ACF" w:rsidP="0063405E">
      <w:pPr>
        <w:spacing w:line="240" w:lineRule="auto"/>
        <w:ind w:left="1416"/>
        <w:jc w:val="both"/>
        <w:rPr>
          <w:rFonts w:cs="Arial"/>
          <w:lang w:eastAsia="es-CO"/>
        </w:rPr>
      </w:pPr>
      <w:r w:rsidRPr="00EE2586">
        <w:rPr>
          <w:rFonts w:cs="Arial"/>
        </w:rPr>
        <w:t>D</w:t>
      </w:r>
      <w:r>
        <w:rPr>
          <w:rFonts w:cs="Arial"/>
        </w:rPr>
        <w:t xml:space="preserve">esde el 2016 se han realizados 500 </w:t>
      </w:r>
      <w:r w:rsidRPr="00EE2586">
        <w:rPr>
          <w:rFonts w:cs="Arial"/>
          <w:lang w:eastAsia="es-CO"/>
        </w:rPr>
        <w:t>acciones de Inspección, Vigilancia y Control -IVC- a establecimientos de comercio con expendio y consumo de bebidas alcohólicas</w:t>
      </w:r>
      <w:r>
        <w:rPr>
          <w:rFonts w:cs="Arial"/>
        </w:rPr>
        <w:t xml:space="preserve"> y planes implementados de manera conjunta con la policía, realizados</w:t>
      </w:r>
      <w:r w:rsidRPr="00EE2586">
        <w:rPr>
          <w:rFonts w:cs="Arial"/>
          <w:b/>
        </w:rPr>
        <w:t xml:space="preserve"> </w:t>
      </w:r>
      <w:r w:rsidRPr="00EE2586">
        <w:rPr>
          <w:rFonts w:cs="Arial"/>
        </w:rPr>
        <w:t xml:space="preserve">prioritariamente </w:t>
      </w:r>
      <w:r w:rsidRPr="00EE2586">
        <w:rPr>
          <w:rFonts w:cs="Arial"/>
          <w:lang w:eastAsia="es-CO"/>
        </w:rPr>
        <w:t xml:space="preserve">en zonas con concentración de homicidios, lesiones personales y riñas. </w:t>
      </w:r>
    </w:p>
    <w:p w14:paraId="1894B77F" w14:textId="77777777" w:rsidR="00B3758B" w:rsidRPr="00B3758B" w:rsidRDefault="00B3758B" w:rsidP="0063405E">
      <w:pPr>
        <w:pStyle w:val="Prrafodelista"/>
        <w:spacing w:line="240" w:lineRule="auto"/>
        <w:jc w:val="both"/>
        <w:rPr>
          <w:rFonts w:cs="Arial"/>
          <w:lang w:eastAsia="es-CO"/>
        </w:rPr>
      </w:pPr>
    </w:p>
    <w:p w14:paraId="794263CC" w14:textId="7851D5D2" w:rsidR="007D0C65" w:rsidRPr="00D9639C" w:rsidRDefault="000048BE" w:rsidP="0063405E">
      <w:pPr>
        <w:pStyle w:val="Prrafodelista"/>
        <w:numPr>
          <w:ilvl w:val="0"/>
          <w:numId w:val="2"/>
        </w:numPr>
        <w:spacing w:line="240" w:lineRule="auto"/>
        <w:ind w:left="360"/>
        <w:jc w:val="both"/>
        <w:rPr>
          <w:rFonts w:cstheme="minorHAnsi"/>
          <w:b/>
        </w:rPr>
      </w:pPr>
      <w:r w:rsidRPr="007D0C65">
        <w:rPr>
          <w:rFonts w:cstheme="minorHAnsi"/>
          <w:b/>
          <w:color w:val="000000" w:themeColor="text1"/>
        </w:rPr>
        <w:t xml:space="preserve">Causas de la persistencia </w:t>
      </w:r>
      <w:r w:rsidR="001C74EE">
        <w:rPr>
          <w:rFonts w:cstheme="minorHAnsi"/>
          <w:b/>
          <w:color w:val="000000" w:themeColor="text1"/>
        </w:rPr>
        <w:t>del problema</w:t>
      </w:r>
    </w:p>
    <w:p w14:paraId="7684DD03" w14:textId="77777777" w:rsidR="00D9639C" w:rsidRPr="007D0C65" w:rsidRDefault="00D9639C" w:rsidP="0063405E">
      <w:pPr>
        <w:pStyle w:val="Prrafodelista"/>
        <w:spacing w:line="240" w:lineRule="auto"/>
        <w:ind w:left="360"/>
        <w:jc w:val="both"/>
        <w:rPr>
          <w:rFonts w:cstheme="minorHAnsi"/>
          <w:b/>
        </w:rPr>
      </w:pPr>
    </w:p>
    <w:p w14:paraId="7E5DAE4C" w14:textId="441DD838" w:rsidR="00D346F8" w:rsidRPr="002E171F" w:rsidRDefault="00E37BAA" w:rsidP="0063405E">
      <w:pPr>
        <w:pStyle w:val="Prrafodelista"/>
        <w:numPr>
          <w:ilvl w:val="0"/>
          <w:numId w:val="24"/>
        </w:numPr>
        <w:spacing w:line="240" w:lineRule="auto"/>
        <w:jc w:val="both"/>
        <w:rPr>
          <w:rFonts w:cstheme="minorHAnsi"/>
          <w:color w:val="000000" w:themeColor="text1"/>
        </w:rPr>
      </w:pPr>
      <w:r w:rsidRPr="002E171F">
        <w:rPr>
          <w:rFonts w:cstheme="minorHAnsi"/>
          <w:color w:val="000000" w:themeColor="text1"/>
          <w:u w:val="single"/>
        </w:rPr>
        <w:t>Homicidio</w:t>
      </w:r>
      <w:r w:rsidR="000048BE" w:rsidRPr="002E171F">
        <w:rPr>
          <w:rFonts w:cstheme="minorHAnsi"/>
          <w:color w:val="000000" w:themeColor="text1"/>
          <w:u w:val="single"/>
        </w:rPr>
        <w:t>:</w:t>
      </w:r>
      <w:r w:rsidR="000048BE" w:rsidRPr="00D9639C">
        <w:rPr>
          <w:rFonts w:cstheme="minorHAnsi"/>
          <w:color w:val="000000" w:themeColor="text1"/>
        </w:rPr>
        <w:t xml:space="preserve"> </w:t>
      </w:r>
      <w:r w:rsidR="00D346F8" w:rsidRPr="002E171F">
        <w:rPr>
          <w:rFonts w:cstheme="minorHAnsi"/>
          <w:color w:val="000000" w:themeColor="text1"/>
        </w:rPr>
        <w:t xml:space="preserve">Es necesario profundizar </w:t>
      </w:r>
      <w:r w:rsidR="00D346F8" w:rsidRPr="002E171F">
        <w:rPr>
          <w:rFonts w:cstheme="minorHAnsi"/>
        </w:rPr>
        <w:t>en las labores de investigación para los casos relacionados con estructuras delincuenciales, y en modo más específico, con rentas asociadas al transporte, almacenamiento y comercialización de estupefacientes. En ese sentido es importante profundizar en el fortalecimiento de las capacidades investigativas de las policías judiciales del Distrito Capital</w:t>
      </w:r>
      <w:r w:rsidR="002958BE" w:rsidRPr="002E171F">
        <w:rPr>
          <w:rFonts w:cstheme="minorHAnsi"/>
        </w:rPr>
        <w:t>, en materia de elementos tecnológicos, así como en capacitación con actores externos</w:t>
      </w:r>
      <w:r w:rsidR="00D346F8" w:rsidRPr="002E171F">
        <w:rPr>
          <w:rFonts w:cstheme="minorHAnsi"/>
        </w:rPr>
        <w:t>.</w:t>
      </w:r>
    </w:p>
    <w:p w14:paraId="6A63E8F0" w14:textId="4FD6FC6F" w:rsidR="002958BE" w:rsidRDefault="002958BE" w:rsidP="0063405E">
      <w:pPr>
        <w:spacing w:line="240" w:lineRule="auto"/>
        <w:ind w:left="708"/>
        <w:jc w:val="both"/>
        <w:rPr>
          <w:rFonts w:cstheme="minorHAnsi"/>
        </w:rPr>
      </w:pPr>
      <w:r>
        <w:rPr>
          <w:rFonts w:cstheme="minorHAnsi"/>
        </w:rPr>
        <w:t xml:space="preserve">En materia de homicidios relacionados con delitos contra el patrimonio, principalmente hurto a </w:t>
      </w:r>
      <w:r w:rsidR="002D7438">
        <w:rPr>
          <w:rFonts w:cstheme="minorHAnsi"/>
        </w:rPr>
        <w:t>personas</w:t>
      </w:r>
      <w:r>
        <w:rPr>
          <w:rFonts w:cstheme="minorHAnsi"/>
        </w:rPr>
        <w:t xml:space="preserve"> es necesario fortalecer las capacidades administrativas del Distrito Capital para aplicar medidas y medios de Policía, en el marco de la Ley 1801 de 2016 –Código Nacional de Policía, a los establecimientos de comercio en los que se evidencie la receptación de terminales móviles, bicicletas y autopartes hurtadas.</w:t>
      </w:r>
    </w:p>
    <w:p w14:paraId="2FC27F82" w14:textId="6A9885CC" w:rsidR="002958BE" w:rsidRDefault="002958BE" w:rsidP="0063405E">
      <w:pPr>
        <w:spacing w:line="240" w:lineRule="auto"/>
        <w:ind w:left="708"/>
        <w:jc w:val="both"/>
        <w:rPr>
          <w:rFonts w:cstheme="minorHAnsi"/>
        </w:rPr>
      </w:pPr>
      <w:r w:rsidRPr="008A562E">
        <w:rPr>
          <w:rFonts w:cstheme="minorHAnsi"/>
        </w:rPr>
        <w:t xml:space="preserve">En vista del aumento </w:t>
      </w:r>
      <w:r>
        <w:rPr>
          <w:rFonts w:cstheme="minorHAnsi"/>
        </w:rPr>
        <w:t xml:space="preserve">en la participación </w:t>
      </w:r>
      <w:r w:rsidRPr="008A562E">
        <w:rPr>
          <w:rFonts w:cstheme="minorHAnsi"/>
        </w:rPr>
        <w:t>de homicidios</w:t>
      </w:r>
      <w:r>
        <w:rPr>
          <w:rFonts w:cstheme="minorHAnsi"/>
        </w:rPr>
        <w:t xml:space="preserve"> con arma blanca en el total de muertes violentas, se recomienda impulsar las iniciativas legislativas tendientes a </w:t>
      </w:r>
      <w:r>
        <w:rPr>
          <w:rFonts w:cstheme="minorHAnsi"/>
        </w:rPr>
        <w:lastRenderedPageBreak/>
        <w:t xml:space="preserve">judicializar su porte, particularmente en los casos en los que se da reincidencia. Para ello, es necesario articular el Registro Nacional de Medidas Correctivas, en el que se consignan los comportamientos contrarios a la convivencia que atentan contra la vida (como el porte de objetos </w:t>
      </w:r>
      <w:r w:rsidR="00D9639C">
        <w:rPr>
          <w:rFonts w:cstheme="minorHAnsi"/>
        </w:rPr>
        <w:t>cortopunzantes</w:t>
      </w:r>
      <w:r>
        <w:rPr>
          <w:rFonts w:cstheme="minorHAnsi"/>
        </w:rPr>
        <w:t>), con el SPOA, de manera tal que sea posible asociar el porte reincidente de armas blancas, con anotaciones judiciales.</w:t>
      </w:r>
    </w:p>
    <w:p w14:paraId="41543902" w14:textId="77777777" w:rsidR="007D0C65" w:rsidRDefault="002958BE" w:rsidP="0063405E">
      <w:pPr>
        <w:spacing w:line="240" w:lineRule="auto"/>
        <w:ind w:left="708"/>
        <w:jc w:val="both"/>
        <w:rPr>
          <w:rFonts w:cstheme="minorHAnsi"/>
        </w:rPr>
      </w:pPr>
      <w:r>
        <w:rPr>
          <w:rFonts w:cstheme="minorHAnsi"/>
        </w:rPr>
        <w:t xml:space="preserve">Igualmente, es importante incentivar una política pública nacional de control al tránsito de armas de fuego, e incluso, al mercado negro de estas. Si bien </w:t>
      </w:r>
      <w:r w:rsidR="00E903F3">
        <w:rPr>
          <w:rFonts w:cstheme="minorHAnsi"/>
        </w:rPr>
        <w:t xml:space="preserve">actualmente está en vigencia un decreto de control al porte de armas legales, es necesario formalizar canales de control a las de tipo ilegal o irregular. Esto no depende del nivel distrital, pero puede ser promovido a través de mecanismos como </w:t>
      </w:r>
      <w:proofErr w:type="spellStart"/>
      <w:r w:rsidR="00E903F3">
        <w:rPr>
          <w:rFonts w:cstheme="minorHAnsi"/>
        </w:rPr>
        <w:t>Asocapitales</w:t>
      </w:r>
      <w:proofErr w:type="spellEnd"/>
      <w:r w:rsidR="00E903F3">
        <w:rPr>
          <w:rFonts w:cstheme="minorHAnsi"/>
        </w:rPr>
        <w:t>.</w:t>
      </w:r>
    </w:p>
    <w:p w14:paraId="5C8E2C6B" w14:textId="2236A7A2" w:rsidR="002958BE" w:rsidRPr="002E171F" w:rsidRDefault="00D9639C" w:rsidP="0063405E">
      <w:pPr>
        <w:pStyle w:val="Prrafodelista"/>
        <w:numPr>
          <w:ilvl w:val="0"/>
          <w:numId w:val="24"/>
        </w:numPr>
        <w:spacing w:line="240" w:lineRule="auto"/>
        <w:jc w:val="both"/>
        <w:rPr>
          <w:rFonts w:cstheme="minorHAnsi"/>
          <w:b/>
        </w:rPr>
      </w:pPr>
      <w:r w:rsidRPr="002E171F">
        <w:rPr>
          <w:rFonts w:cstheme="minorHAnsi"/>
          <w:u w:val="single"/>
        </w:rPr>
        <w:t>Lesiones Personales:</w:t>
      </w:r>
      <w:r w:rsidR="002E171F">
        <w:rPr>
          <w:rFonts w:cstheme="minorHAnsi"/>
          <w:b/>
        </w:rPr>
        <w:t xml:space="preserve"> </w:t>
      </w:r>
      <w:r w:rsidR="002958BE" w:rsidRPr="002E171F">
        <w:rPr>
          <w:rFonts w:cstheme="minorHAnsi"/>
        </w:rPr>
        <w:t>Se sugiere la formulación de una instancia interinstitucional en la que se lleve a cabo una caracterización integral de las lesiones personales, con el fin de generar una estrategia de reducción asociada a lógicas de salud pública.</w:t>
      </w:r>
      <w:r w:rsidR="00E903F3" w:rsidRPr="002E171F">
        <w:rPr>
          <w:rFonts w:cstheme="minorHAnsi"/>
        </w:rPr>
        <w:t xml:space="preserve"> Esta instancia requiere de la participación del Sector Salud y del Instituto Nacional de Medicina Legal. Con los productos que esta articulación gener</w:t>
      </w:r>
      <w:r w:rsidR="00214ACA" w:rsidRPr="002E171F">
        <w:rPr>
          <w:rFonts w:cstheme="minorHAnsi"/>
        </w:rPr>
        <w:t>e</w:t>
      </w:r>
      <w:r w:rsidR="00E903F3" w:rsidRPr="002E171F">
        <w:rPr>
          <w:rFonts w:cstheme="minorHAnsi"/>
        </w:rPr>
        <w:t>, será posible abordar el delito con variables modales, territoriales y temporales.</w:t>
      </w:r>
    </w:p>
    <w:p w14:paraId="26433D65" w14:textId="7F0CCD99" w:rsidR="00E903F3" w:rsidRDefault="00E903F3" w:rsidP="0063405E">
      <w:pPr>
        <w:spacing w:line="240" w:lineRule="auto"/>
        <w:ind w:left="708"/>
        <w:jc w:val="both"/>
        <w:rPr>
          <w:rFonts w:cstheme="minorHAnsi"/>
        </w:rPr>
      </w:pPr>
      <w:r>
        <w:rPr>
          <w:rFonts w:cstheme="minorHAnsi"/>
        </w:rPr>
        <w:t>Similar a lo sugerido en el apartado de homicidios, es necesario fortalecer las capacidades administrativas del Distrito Capital para aplicar medidas y medios de Policía, en el marco de la Ley 1801 de 2016 –Código Nacional de Policía, a los establecimientos de comercio en los que se evidencie reincidencia en la aplicación de medidas contrarias a la convivencia y a la actividad económica.</w:t>
      </w:r>
    </w:p>
    <w:p w14:paraId="2938698F" w14:textId="22272AF8" w:rsidR="00E903F3" w:rsidRDefault="00E903F3" w:rsidP="0063405E">
      <w:pPr>
        <w:spacing w:line="240" w:lineRule="auto"/>
        <w:ind w:left="708"/>
        <w:jc w:val="both"/>
        <w:rPr>
          <w:rFonts w:cstheme="minorHAnsi"/>
        </w:rPr>
      </w:pPr>
      <w:r>
        <w:rPr>
          <w:rFonts w:cstheme="minorHAnsi"/>
        </w:rPr>
        <w:t xml:space="preserve">La reducción en la ocurrencia de lesiones personales, en parte, se dio gracias al fortalecimiento del Sistema Distrital de Justicia y a la promoción de mecanismos alternativos de resolución de conflictos. En ese sentido, se recomienda hacer una mayor promoción de </w:t>
      </w:r>
      <w:r w:rsidR="00D9639C">
        <w:rPr>
          <w:rFonts w:cstheme="minorHAnsi"/>
        </w:rPr>
        <w:t>estos</w:t>
      </w:r>
      <w:r>
        <w:rPr>
          <w:rFonts w:cstheme="minorHAnsi"/>
        </w:rPr>
        <w:t>, particularmente para la reducción de conflictos de tipo vecinal.</w:t>
      </w:r>
    </w:p>
    <w:p w14:paraId="2188E428" w14:textId="593E555B" w:rsidR="00E903F3" w:rsidRPr="002E171F" w:rsidRDefault="00E37BAA" w:rsidP="0063405E">
      <w:pPr>
        <w:pStyle w:val="Prrafodelista"/>
        <w:numPr>
          <w:ilvl w:val="0"/>
          <w:numId w:val="24"/>
        </w:numPr>
        <w:spacing w:line="240" w:lineRule="auto"/>
        <w:jc w:val="both"/>
        <w:rPr>
          <w:rFonts w:cstheme="minorHAnsi"/>
        </w:rPr>
      </w:pPr>
      <w:r w:rsidRPr="002E171F">
        <w:rPr>
          <w:rFonts w:cstheme="minorHAnsi"/>
          <w:u w:val="single"/>
        </w:rPr>
        <w:t>Riñas</w:t>
      </w:r>
      <w:r w:rsidR="002D7438" w:rsidRPr="002E171F">
        <w:rPr>
          <w:rFonts w:cstheme="minorHAnsi"/>
          <w:u w:val="single"/>
        </w:rPr>
        <w:t>:</w:t>
      </w:r>
      <w:r w:rsidR="002D7438" w:rsidRPr="00D9639C">
        <w:rPr>
          <w:rFonts w:cstheme="minorHAnsi"/>
        </w:rPr>
        <w:t xml:space="preserve"> </w:t>
      </w:r>
      <w:r w:rsidR="00E903F3" w:rsidRPr="002E171F">
        <w:rPr>
          <w:rFonts w:cstheme="minorHAnsi"/>
        </w:rPr>
        <w:t>Se sugiere el fortalecimiento de la promoción de la denuncia y de los canales de mediación instalados a través del Sistema Distrital de Justicia. Este mecanismo tiene la potencialidad de reducir tanto lesiones personales como riñas.</w:t>
      </w:r>
    </w:p>
    <w:p w14:paraId="63DC02C3" w14:textId="465ED440" w:rsidR="00E903F3" w:rsidRPr="00E37BAA" w:rsidRDefault="00E903F3" w:rsidP="0063405E">
      <w:pPr>
        <w:spacing w:line="240" w:lineRule="auto"/>
        <w:ind w:left="708"/>
        <w:jc w:val="both"/>
        <w:rPr>
          <w:rFonts w:cstheme="minorHAnsi"/>
        </w:rPr>
      </w:pPr>
      <w:r>
        <w:rPr>
          <w:rFonts w:cstheme="minorHAnsi"/>
        </w:rPr>
        <w:t>La estrategia de Farra en la Buena buscó reducir la ocurrencia de riñas en zonas con alta concentración de establecimientos de comercio con venta y consumo de bebidas alcohólicas. Se sugiere profundizar esta estrategia fortalecimiento sus modos de promoción, e igualmente, vinculándola con estrategias de otros sectores, como las secretarías distritales de la Mujer e Integración Social, con miras a enviar mensajes integrales a la ciudadanía de reducción de violencias físicas.</w:t>
      </w:r>
    </w:p>
    <w:p w14:paraId="25D7055D" w14:textId="77777777" w:rsidR="00A559E3" w:rsidRPr="00A559E3" w:rsidRDefault="000048BE" w:rsidP="0063405E">
      <w:pPr>
        <w:pStyle w:val="Prrafodelista"/>
        <w:numPr>
          <w:ilvl w:val="0"/>
          <w:numId w:val="2"/>
        </w:numPr>
        <w:spacing w:line="240" w:lineRule="auto"/>
        <w:jc w:val="both"/>
        <w:rPr>
          <w:rFonts w:cstheme="minorHAnsi"/>
          <w:b/>
        </w:rPr>
      </w:pPr>
      <w:r w:rsidRPr="00A559E3">
        <w:rPr>
          <w:rFonts w:cstheme="minorHAnsi"/>
          <w:b/>
        </w:rPr>
        <w:t>Consecuencias</w:t>
      </w:r>
      <w:r w:rsidR="001C74EE" w:rsidRPr="00A559E3">
        <w:rPr>
          <w:rFonts w:cstheme="minorHAnsi"/>
          <w:b/>
        </w:rPr>
        <w:t xml:space="preserve"> de la persistencia del problema</w:t>
      </w:r>
      <w:r w:rsidRPr="00A559E3">
        <w:rPr>
          <w:rFonts w:cstheme="minorHAnsi"/>
          <w:b/>
        </w:rPr>
        <w:t xml:space="preserve"> </w:t>
      </w:r>
    </w:p>
    <w:p w14:paraId="4127C38F" w14:textId="5AC5ABC5" w:rsidR="00A559E3" w:rsidRPr="00A559E3" w:rsidRDefault="00A559E3" w:rsidP="0063405E">
      <w:pPr>
        <w:spacing w:line="240" w:lineRule="auto"/>
        <w:ind w:left="708"/>
        <w:jc w:val="both"/>
        <w:rPr>
          <w:rFonts w:cstheme="minorHAnsi"/>
        </w:rPr>
      </w:pPr>
      <w:r w:rsidRPr="00A559E3">
        <w:rPr>
          <w:rFonts w:cstheme="minorHAnsi"/>
        </w:rPr>
        <w:t xml:space="preserve">No abordar las problemáticas identificadas puede derivar en una consecuencia de impacto a nivel distrital, y es la del </w:t>
      </w:r>
      <w:r w:rsidR="008F2095">
        <w:rPr>
          <w:rFonts w:cstheme="minorHAnsi"/>
        </w:rPr>
        <w:t>aumento</w:t>
      </w:r>
      <w:r w:rsidRPr="00A559E3">
        <w:rPr>
          <w:rFonts w:cstheme="minorHAnsi"/>
        </w:rPr>
        <w:t xml:space="preserve"> en la cifra de ocurrencia de los delitos contra la vida y, por tanto, de su tasa. Esto aplica principalmente para el homicidio, cuya incidencia repercute a nivel comunitario, pero también distrital.</w:t>
      </w:r>
    </w:p>
    <w:p w14:paraId="1777B4C7" w14:textId="6B0BEF23" w:rsidR="006E6ACF" w:rsidRDefault="00A559E3" w:rsidP="0063405E">
      <w:pPr>
        <w:spacing w:line="240" w:lineRule="auto"/>
        <w:ind w:left="708"/>
        <w:jc w:val="both"/>
        <w:rPr>
          <w:rFonts w:cstheme="minorHAnsi"/>
        </w:rPr>
      </w:pPr>
      <w:r w:rsidRPr="00A559E3">
        <w:rPr>
          <w:rFonts w:cstheme="minorHAnsi"/>
        </w:rPr>
        <w:t xml:space="preserve">En términos de medios, la consecuencia que se puede derivar de no abordar los problemas identificados es la de no generar los espacios interinstitucionales mencionados anteriormente, como herramienta de caracterización de delitos y espacio de generación de planes para la reducción de </w:t>
      </w:r>
      <w:r w:rsidR="007261F6" w:rsidRPr="00A559E3">
        <w:rPr>
          <w:rFonts w:cstheme="minorHAnsi"/>
        </w:rPr>
        <w:t>estos</w:t>
      </w:r>
      <w:bookmarkEnd w:id="0"/>
    </w:p>
    <w:p w14:paraId="6A6245D5" w14:textId="6A983F80" w:rsidR="002E171F" w:rsidRPr="002E171F" w:rsidRDefault="00802BCD" w:rsidP="0063405E">
      <w:pPr>
        <w:spacing w:line="240" w:lineRule="auto"/>
        <w:jc w:val="both"/>
        <w:rPr>
          <w:rFonts w:cstheme="minorHAnsi"/>
        </w:rPr>
      </w:pPr>
      <w:r>
        <w:rPr>
          <w:rFonts w:cstheme="minorHAnsi"/>
        </w:rPr>
        <w:lastRenderedPageBreak/>
        <w:t xml:space="preserve">A continuación, se describirán los problemas que </w:t>
      </w:r>
      <w:r w:rsidR="007261F6">
        <w:rPr>
          <w:rFonts w:cstheme="minorHAnsi"/>
        </w:rPr>
        <w:t>de acuerdo con</w:t>
      </w:r>
      <w:r>
        <w:rPr>
          <w:rFonts w:cstheme="minorHAnsi"/>
        </w:rPr>
        <w:t xml:space="preserve"> la introducción inciden en el desempeño de la problemática principal:</w:t>
      </w:r>
    </w:p>
    <w:p w14:paraId="48EFF81A" w14:textId="475D7AE5" w:rsidR="000048BE" w:rsidRPr="00E37BAA" w:rsidRDefault="001C74EE" w:rsidP="0063405E">
      <w:pPr>
        <w:spacing w:line="240" w:lineRule="auto"/>
        <w:rPr>
          <w:rFonts w:cstheme="minorHAnsi"/>
          <w:b/>
        </w:rPr>
      </w:pPr>
      <w:r w:rsidRPr="00D9639C">
        <w:rPr>
          <w:rFonts w:cstheme="minorHAnsi"/>
          <w:b/>
          <w:u w:val="single"/>
        </w:rPr>
        <w:t>PROBLEMA 2.</w:t>
      </w:r>
      <w:r w:rsidRPr="00E37BAA">
        <w:rPr>
          <w:rFonts w:cstheme="minorHAnsi"/>
          <w:b/>
        </w:rPr>
        <w:t xml:space="preserve"> SEGUIMIENTO A LA EJECUCIÓN DE INVERSIONES </w:t>
      </w:r>
    </w:p>
    <w:p w14:paraId="390DD7F6" w14:textId="77777777" w:rsidR="000048BE" w:rsidRPr="001C74EE" w:rsidRDefault="000048BE" w:rsidP="0063405E">
      <w:pPr>
        <w:pStyle w:val="Prrafodelista"/>
        <w:numPr>
          <w:ilvl w:val="0"/>
          <w:numId w:val="2"/>
        </w:numPr>
        <w:spacing w:after="0" w:line="240" w:lineRule="auto"/>
        <w:jc w:val="both"/>
        <w:rPr>
          <w:rFonts w:cstheme="minorHAnsi"/>
          <w:b/>
          <w:lang w:val="es-ES_tradnl"/>
        </w:rPr>
      </w:pPr>
      <w:r w:rsidRPr="001C74EE">
        <w:rPr>
          <w:rFonts w:cstheme="minorHAnsi"/>
          <w:b/>
          <w:lang w:val="es-ES_tradnl"/>
        </w:rPr>
        <w:t>Definición del Problema.</w:t>
      </w:r>
    </w:p>
    <w:p w14:paraId="6322D307" w14:textId="77777777" w:rsidR="000048BE" w:rsidRPr="00E37BAA" w:rsidRDefault="000048BE" w:rsidP="0063405E">
      <w:pPr>
        <w:spacing w:after="0" w:line="240" w:lineRule="auto"/>
        <w:jc w:val="both"/>
        <w:rPr>
          <w:rFonts w:cstheme="minorHAnsi"/>
          <w:b/>
          <w:lang w:val="es-ES_tradnl"/>
        </w:rPr>
      </w:pPr>
    </w:p>
    <w:p w14:paraId="4A06AB81" w14:textId="381EECFB" w:rsidR="000048BE" w:rsidRPr="00E37BAA" w:rsidRDefault="000048BE" w:rsidP="0063405E">
      <w:pPr>
        <w:spacing w:after="0" w:line="240" w:lineRule="auto"/>
        <w:jc w:val="both"/>
        <w:rPr>
          <w:rFonts w:cstheme="minorHAnsi"/>
          <w:b/>
          <w:lang w:val="es-ES_tradnl"/>
        </w:rPr>
      </w:pPr>
      <w:r w:rsidRPr="00E37BAA">
        <w:rPr>
          <w:rFonts w:cstheme="minorHAnsi"/>
          <w:b/>
          <w:lang w:val="es-ES_tradnl"/>
        </w:rPr>
        <w:t xml:space="preserve">Actualización Tecnológica y de </w:t>
      </w:r>
      <w:r w:rsidR="0006161E" w:rsidRPr="00E37BAA">
        <w:rPr>
          <w:rFonts w:cstheme="minorHAnsi"/>
          <w:b/>
          <w:lang w:val="es-ES_tradnl"/>
        </w:rPr>
        <w:t>Equipamientos</w:t>
      </w:r>
    </w:p>
    <w:p w14:paraId="7CEE4648" w14:textId="77777777" w:rsidR="000048BE" w:rsidRPr="00E37BAA" w:rsidRDefault="000048BE" w:rsidP="0063405E">
      <w:pPr>
        <w:spacing w:after="0" w:line="240" w:lineRule="auto"/>
        <w:jc w:val="both"/>
        <w:rPr>
          <w:rFonts w:cstheme="minorHAnsi"/>
          <w:b/>
          <w:lang w:val="es-ES_tradnl"/>
        </w:rPr>
      </w:pPr>
    </w:p>
    <w:p w14:paraId="265ED02C" w14:textId="77777777" w:rsidR="00F13DE6" w:rsidRPr="00E37BAA" w:rsidRDefault="00F13DE6" w:rsidP="0063405E">
      <w:pPr>
        <w:spacing w:after="0" w:line="240" w:lineRule="auto"/>
        <w:jc w:val="both"/>
        <w:rPr>
          <w:rFonts w:cstheme="minorHAnsi"/>
          <w:lang w:val="es-ES_tradnl"/>
        </w:rPr>
      </w:pPr>
      <w:r w:rsidRPr="00E37BAA">
        <w:rPr>
          <w:rFonts w:cstheme="minorHAnsi"/>
          <w:lang w:val="es-ES_tradnl"/>
        </w:rPr>
        <w:t>En el marco de la misionalidad de la SDSCJ, específicamente a partir de las funciones atribuidas a la Subsecretaría de Inversiones y Fortalecimiento de las Capacidades Operativas,</w:t>
      </w:r>
      <w:r w:rsidRPr="00E37BAA">
        <w:rPr>
          <w:rFonts w:cstheme="minorHAnsi"/>
          <w:b/>
          <w:lang w:val="es-ES_tradnl"/>
        </w:rPr>
        <w:t xml:space="preserve"> </w:t>
      </w:r>
      <w:r w:rsidRPr="00E37BAA">
        <w:rPr>
          <w:rFonts w:cstheme="minorHAnsi"/>
          <w:lang w:val="es-ES_tradnl"/>
        </w:rPr>
        <w:t xml:space="preserve">la construcción y modernización de la infraestructura tecnológica y física con la que cuenta la ciudad para atender las distintas problemáticas relacionadas con la seguridad, convivencia, acceso a la justicia y atención de emergencias se impuso como uno de los principales objetivos de su inversión. </w:t>
      </w:r>
    </w:p>
    <w:p w14:paraId="1E64F670" w14:textId="77777777" w:rsidR="00F13DE6" w:rsidRPr="00E37BAA" w:rsidRDefault="00F13DE6" w:rsidP="0063405E">
      <w:pPr>
        <w:spacing w:after="0" w:line="240" w:lineRule="auto"/>
        <w:jc w:val="both"/>
        <w:rPr>
          <w:rFonts w:cstheme="minorHAnsi"/>
          <w:lang w:val="es-ES_tradnl"/>
        </w:rPr>
      </w:pPr>
    </w:p>
    <w:p w14:paraId="224EE0FC" w14:textId="77777777" w:rsidR="00F13DE6" w:rsidRPr="00E37BAA" w:rsidRDefault="00F13DE6" w:rsidP="0063405E">
      <w:pPr>
        <w:spacing w:after="0" w:line="240" w:lineRule="auto"/>
        <w:jc w:val="both"/>
        <w:rPr>
          <w:rFonts w:eastAsia="Arial" w:cstheme="minorHAnsi"/>
        </w:rPr>
      </w:pPr>
      <w:r w:rsidRPr="00E37BAA">
        <w:rPr>
          <w:rFonts w:eastAsia="Arial" w:cstheme="minorHAnsi"/>
        </w:rPr>
        <w:t xml:space="preserve">No obstante las acciones adelantadas respecto a la modernización tecnológica, en particular a la construcción de un sistema de comunicaciones convergente, y a la actualización de la infraestructura  de los organismos de seguridad de la ciudad, persiste la necesidad de consolidar dichos propósitos y hacerlos parte de los objetivos de la política pública de seguridad, convivencia y acceso a la justicia para minimizar de esta forma los riesgos provenientes de la obsolescencia, precariedad e insuficiencia de los medios y herramientas con los que cuentan las agencias de seguridad con sede en nuestra ciudad para enfrentar las diferentes problemáticas de impacto provenientes de la comisión de delitos y de los comportamientos contrarios a la convivencia ciudadana. </w:t>
      </w:r>
    </w:p>
    <w:p w14:paraId="4719E329" w14:textId="77777777" w:rsidR="00F13DE6" w:rsidRPr="00E37BAA" w:rsidRDefault="00F13DE6" w:rsidP="0063405E">
      <w:pPr>
        <w:spacing w:after="0" w:line="240" w:lineRule="auto"/>
        <w:jc w:val="both"/>
        <w:rPr>
          <w:rFonts w:cstheme="minorHAnsi"/>
          <w:lang w:val="es-ES_tradnl"/>
        </w:rPr>
      </w:pPr>
    </w:p>
    <w:p w14:paraId="472C7DE7" w14:textId="77777777" w:rsidR="00F13DE6" w:rsidRPr="00E37BAA" w:rsidRDefault="00F13DE6" w:rsidP="0063405E">
      <w:pPr>
        <w:spacing w:after="0" w:line="240" w:lineRule="auto"/>
        <w:jc w:val="both"/>
        <w:rPr>
          <w:rFonts w:cstheme="minorHAnsi"/>
          <w:lang w:val="es-ES_tradnl"/>
        </w:rPr>
      </w:pPr>
      <w:r w:rsidRPr="00E37BAA">
        <w:rPr>
          <w:rFonts w:cstheme="minorHAnsi"/>
          <w:lang w:val="es-ES_tradnl"/>
        </w:rPr>
        <w:t>En este sentido es necesario poner de presente</w:t>
      </w:r>
      <w:r>
        <w:rPr>
          <w:rFonts w:cstheme="minorHAnsi"/>
          <w:lang w:val="es-ES_tradnl"/>
        </w:rPr>
        <w:t>, como se mencionó brevemente en la introducción de este documento,</w:t>
      </w:r>
      <w:r w:rsidRPr="00E37BAA">
        <w:rPr>
          <w:rFonts w:cstheme="minorHAnsi"/>
          <w:lang w:val="es-ES_tradnl"/>
        </w:rPr>
        <w:t xml:space="preserve"> que la división de funciones que existía entre la Secretaría Distrital de Gobierno y el Fondo de Vigilancia y Seguridad permitió que el diseño de la política pública en materia de seguridad, convivencia y acceso a la justicia en cabeza de la Secretaría de Gobierno no siempre estuviera en consonancia con la ejecución del presupuesto asignado a la seguridad que dependía casi por completo del Fondo de Vigilancia y Seguridad. La particular y frágil arquitectura institucional que caracterizaba la ejecución de gasto público en la ciudad en materia de seguridad, convivencia y justicia trajo entre otras consecuencias el evidente rezago tecnológico, de </w:t>
      </w:r>
      <w:r>
        <w:rPr>
          <w:rFonts w:cstheme="minorHAnsi"/>
          <w:lang w:val="es-ES_tradnl"/>
        </w:rPr>
        <w:t>e</w:t>
      </w:r>
      <w:r w:rsidRPr="00E37BAA">
        <w:rPr>
          <w:rFonts w:cstheme="minorHAnsi"/>
          <w:lang w:val="es-ES_tradnl"/>
        </w:rPr>
        <w:t xml:space="preserve">quipamientos y en general de medios y herramientas que caracterizaban a los diferentes organismos encargados de la seguridad y la justicia con sede en ella a junio de 2016. </w:t>
      </w:r>
    </w:p>
    <w:p w14:paraId="10E6D0E0" w14:textId="77777777" w:rsidR="00F13DE6" w:rsidRPr="00E37BAA" w:rsidRDefault="00F13DE6" w:rsidP="0063405E">
      <w:pPr>
        <w:spacing w:after="0" w:line="240" w:lineRule="auto"/>
        <w:jc w:val="both"/>
        <w:rPr>
          <w:rFonts w:cstheme="minorHAnsi"/>
          <w:lang w:val="es-ES_tradnl"/>
        </w:rPr>
      </w:pPr>
    </w:p>
    <w:p w14:paraId="01E7DF92" w14:textId="77777777" w:rsidR="00F13DE6" w:rsidRPr="00E37BAA" w:rsidRDefault="00F13DE6" w:rsidP="0063405E">
      <w:pPr>
        <w:spacing w:after="0" w:line="240" w:lineRule="auto"/>
        <w:jc w:val="both"/>
        <w:rPr>
          <w:rFonts w:cstheme="minorHAnsi"/>
        </w:rPr>
      </w:pPr>
      <w:r w:rsidRPr="00E37BAA">
        <w:rPr>
          <w:rFonts w:cstheme="minorHAnsi"/>
        </w:rPr>
        <w:t>Así las cosas, con la creación y puesta en funcionamiento de la SDSCJ</w:t>
      </w:r>
      <w:r>
        <w:rPr>
          <w:rFonts w:cstheme="minorHAnsi"/>
        </w:rPr>
        <w:t>,</w:t>
      </w:r>
      <w:r w:rsidRPr="00E37BAA">
        <w:rPr>
          <w:rFonts w:cstheme="minorHAnsi"/>
        </w:rPr>
        <w:t xml:space="preserve"> la disociación entre las problemáticas de impacto y los medios destinados a su atención y solución fue resuelta de manera favorable como se observará enseguida con las acciones desarrolladas desde la Subsecretaría de Inversiones y Fortalecimiento de Capacidades Operativas para dar cumplimiento a las metas del Plan de Desarrollo “Bogotá Mejor Para Todos</w:t>
      </w:r>
      <w:r>
        <w:rPr>
          <w:rFonts w:cstheme="minorHAnsi"/>
        </w:rPr>
        <w:t xml:space="preserve"> 2016-2020</w:t>
      </w:r>
      <w:r w:rsidRPr="00E37BAA">
        <w:rPr>
          <w:rFonts w:cstheme="minorHAnsi"/>
        </w:rPr>
        <w:t xml:space="preserve">” y a los objetivos propuestos en el marco del Plan Maestro de Equipamientos de Seguridad, Defensa y Justicia en la ciudad. En este contexto, la adquisición de más y mejores elementos para las agencias, la superación de la brecha tecnológica y del déficit existente en construcción, dotación, mantenimiento, implementación y sostenimiento de equipamientos destinados a garantizar la seguridad, convivencia y acceso a la justicia adquieren toda su relevancia. </w:t>
      </w:r>
    </w:p>
    <w:p w14:paraId="703564CB" w14:textId="6DC9003E" w:rsidR="000048BE" w:rsidRPr="0035030B" w:rsidRDefault="000048BE" w:rsidP="0063405E">
      <w:pPr>
        <w:spacing w:after="0" w:line="240" w:lineRule="auto"/>
        <w:jc w:val="both"/>
        <w:rPr>
          <w:rFonts w:cstheme="minorHAnsi"/>
        </w:rPr>
      </w:pPr>
      <w:r w:rsidRPr="00E37BAA">
        <w:rPr>
          <w:rFonts w:cstheme="minorHAnsi"/>
        </w:rPr>
        <w:t xml:space="preserve"> </w:t>
      </w:r>
    </w:p>
    <w:p w14:paraId="4B68BF6C" w14:textId="77777777" w:rsidR="000048BE" w:rsidRPr="001C74EE" w:rsidRDefault="000048BE" w:rsidP="0063405E">
      <w:pPr>
        <w:pStyle w:val="Prrafodelista"/>
        <w:numPr>
          <w:ilvl w:val="0"/>
          <w:numId w:val="2"/>
        </w:numPr>
        <w:spacing w:after="0" w:line="240" w:lineRule="auto"/>
        <w:jc w:val="both"/>
        <w:rPr>
          <w:rFonts w:cstheme="minorHAnsi"/>
          <w:b/>
        </w:rPr>
      </w:pPr>
      <w:r w:rsidRPr="001C74EE">
        <w:rPr>
          <w:rFonts w:cstheme="minorHAnsi"/>
          <w:b/>
        </w:rPr>
        <w:t>Evolución del Problema.</w:t>
      </w:r>
    </w:p>
    <w:p w14:paraId="0C847FDC" w14:textId="77777777" w:rsidR="000048BE" w:rsidRPr="00E37BAA" w:rsidRDefault="000048BE" w:rsidP="0063405E">
      <w:pPr>
        <w:spacing w:after="0" w:line="240" w:lineRule="auto"/>
        <w:jc w:val="both"/>
        <w:rPr>
          <w:rFonts w:cstheme="minorHAnsi"/>
          <w:b/>
        </w:rPr>
      </w:pPr>
    </w:p>
    <w:p w14:paraId="367C5F54" w14:textId="77777777" w:rsidR="006F2311" w:rsidRPr="00050779" w:rsidRDefault="006F2311" w:rsidP="0063405E">
      <w:pPr>
        <w:pStyle w:val="Prrafodelista"/>
        <w:numPr>
          <w:ilvl w:val="0"/>
          <w:numId w:val="28"/>
        </w:numPr>
        <w:spacing w:after="0" w:line="240" w:lineRule="auto"/>
        <w:jc w:val="both"/>
        <w:rPr>
          <w:rFonts w:cstheme="minorHAnsi"/>
          <w:u w:val="single"/>
        </w:rPr>
      </w:pPr>
      <w:r w:rsidRPr="00050779">
        <w:rPr>
          <w:rFonts w:cstheme="minorHAnsi"/>
          <w:u w:val="single"/>
        </w:rPr>
        <w:lastRenderedPageBreak/>
        <w:t xml:space="preserve">Mejoramiento y ampliación de la infraestructura tecnológica: </w:t>
      </w:r>
    </w:p>
    <w:p w14:paraId="5C61F813" w14:textId="77777777" w:rsidR="006F2311" w:rsidRPr="00050779" w:rsidRDefault="006F2311" w:rsidP="0063405E">
      <w:pPr>
        <w:pStyle w:val="Prrafodelista"/>
        <w:numPr>
          <w:ilvl w:val="0"/>
          <w:numId w:val="29"/>
        </w:numPr>
        <w:spacing w:after="0" w:line="240" w:lineRule="auto"/>
        <w:jc w:val="both"/>
        <w:rPr>
          <w:rFonts w:cstheme="minorHAnsi"/>
          <w:u w:val="single"/>
        </w:rPr>
      </w:pPr>
      <w:r w:rsidRPr="00050779">
        <w:rPr>
          <w:rFonts w:cstheme="minorHAnsi"/>
          <w:b/>
          <w:i/>
          <w:iCs/>
          <w:lang w:val="es-ES"/>
        </w:rPr>
        <w:t>Centro Comando, Control, Comunicaciones y Cómputo</w:t>
      </w:r>
      <w:r>
        <w:rPr>
          <w:rFonts w:cstheme="minorHAnsi"/>
          <w:b/>
          <w:i/>
          <w:iCs/>
          <w:lang w:val="es-ES"/>
        </w:rPr>
        <w:t xml:space="preserve">: </w:t>
      </w:r>
      <w:r w:rsidRPr="00050779">
        <w:rPr>
          <w:rFonts w:eastAsia="Times New Roman" w:cs="Segoe UI"/>
          <w:lang w:val="es-ES" w:eastAsia="es-CO"/>
        </w:rPr>
        <w:t>El Centro de Comando, Control, Comunicaciones y Cómputo –C4  es  un concepto que no tiene un precedente histórico en el país y responde a la necesidad de crear un sistema que articulara las herramientas tecnológicas, operacionales y humanas dispuestas por el Distrito Capital con el propósito de dar una respuesta coordinada, eficiente y oportuna a los eventos de seguridad y emergencia que ocurren en Bogotá, D.C.,  y a la vez, que generara información centralizada y confiable para la toma de decisiones y aportara conocimiento para la prevención y anticipación de dichos eventos.</w:t>
      </w:r>
    </w:p>
    <w:p w14:paraId="3576EA96" w14:textId="77777777" w:rsidR="006F2311" w:rsidRPr="004D3208" w:rsidRDefault="006F2311" w:rsidP="0063405E">
      <w:pPr>
        <w:spacing w:before="100" w:beforeAutospacing="1" w:after="100" w:afterAutospacing="1" w:line="240" w:lineRule="auto"/>
        <w:ind w:left="708"/>
        <w:jc w:val="both"/>
        <w:textAlignment w:val="baseline"/>
        <w:rPr>
          <w:rFonts w:eastAsia="Times New Roman" w:cs="Segoe UI"/>
          <w:lang w:eastAsia="es-CO"/>
        </w:rPr>
      </w:pPr>
      <w:r w:rsidRPr="004D3208">
        <w:rPr>
          <w:rFonts w:eastAsia="Times New Roman" w:cs="Segoe UI"/>
          <w:lang w:val="es-ES" w:eastAsia="es-CO"/>
        </w:rPr>
        <w:t>El servicio que presta el C4 tiene carácter ininterrumpido, continuo y permanente, y dada su especial importancia para el apoyo en la protección de la vida humana, de la defensa, la seguridad y la justicia, se desarrolla dentro de esquemas de misión e infraestructura crítica que generan los máximos niveles de disponibilidad y protección física, sísmica y tecnológica.</w:t>
      </w:r>
    </w:p>
    <w:p w14:paraId="2E1255BC" w14:textId="77777777" w:rsidR="006F2311" w:rsidRPr="004D3208" w:rsidRDefault="006F2311" w:rsidP="0063405E">
      <w:pPr>
        <w:spacing w:after="0" w:line="240" w:lineRule="auto"/>
        <w:ind w:left="708"/>
        <w:jc w:val="both"/>
        <w:rPr>
          <w:rFonts w:eastAsia="Arial" w:cs="Arial"/>
          <w:color w:val="000000"/>
        </w:rPr>
      </w:pPr>
      <w:r w:rsidRPr="004D3208">
        <w:rPr>
          <w:rFonts w:cs="Segoe UI"/>
          <w:lang w:val="es-ES"/>
        </w:rPr>
        <w:t>El componente fundamental del C4 por su importancia para la ciudad es el Número Único de Seguridad y Emergencias – NUSE 123, pues este soporta la operación de recepción y despacho de Seguridad y Emergencias para Bogotá, pero además porque en el marco de la modernización que se está realizando, sobre la nueva plataforma CAD se integrarán otros componentes del C4, como radio, videovigilancia y redes de apoyo ciudadano, entre otros.  </w:t>
      </w:r>
      <w:r w:rsidRPr="004D3208">
        <w:rPr>
          <w:rFonts w:cs="Segoe UI"/>
        </w:rPr>
        <w:t> </w:t>
      </w:r>
      <w:r w:rsidRPr="004D3208">
        <w:rPr>
          <w:rFonts w:cstheme="minorHAnsi"/>
          <w:lang w:val="es-ES"/>
        </w:rPr>
        <w:t xml:space="preserve">Actualmente, el </w:t>
      </w:r>
      <w:r w:rsidRPr="004D3208">
        <w:rPr>
          <w:rFonts w:cstheme="minorHAnsi"/>
        </w:rPr>
        <w:t xml:space="preserve">Centro de Comando, Control, Comunicaciones y Cómputo permite visualizar </w:t>
      </w:r>
      <w:r w:rsidRPr="004D3208">
        <w:rPr>
          <w:rFonts w:eastAsia="Arial" w:cs="Arial"/>
          <w:color w:val="000000"/>
        </w:rPr>
        <w:t xml:space="preserve">4.232 cámaras de video vigilancia instaladas en la ciudad. </w:t>
      </w:r>
    </w:p>
    <w:p w14:paraId="106FCD97" w14:textId="77777777" w:rsidR="006F2311" w:rsidRPr="004D3208" w:rsidRDefault="006F2311" w:rsidP="0063405E">
      <w:pPr>
        <w:spacing w:after="0" w:line="240" w:lineRule="auto"/>
        <w:jc w:val="both"/>
        <w:rPr>
          <w:rFonts w:eastAsia="Arial" w:cs="Arial"/>
          <w:color w:val="000000"/>
        </w:rPr>
      </w:pPr>
    </w:p>
    <w:p w14:paraId="2C2EC77D" w14:textId="77777777" w:rsidR="006F2311" w:rsidRPr="004D3208" w:rsidRDefault="006F2311" w:rsidP="0063405E">
      <w:pPr>
        <w:spacing w:after="0" w:line="240" w:lineRule="auto"/>
        <w:ind w:left="708"/>
        <w:jc w:val="both"/>
        <w:rPr>
          <w:rFonts w:eastAsia="Arial" w:cs="Arial"/>
          <w:color w:val="000000"/>
        </w:rPr>
      </w:pPr>
      <w:r w:rsidRPr="004D3208">
        <w:rPr>
          <w:rFonts w:cs="Segoe UI"/>
          <w:lang w:val="es-ES"/>
        </w:rPr>
        <w:t>De esta manera en la implementación del C4 se ha avanzado, entre otros en: La integración de las agencias en el edificio del C4, incorporando la Sala Unificada de Recepción – SUR, el Centro Automático de Despecho de la Policía – CAD, el despacho de IDIGER  y la operación coordinada con BOMBEROS y el Centro Regulador de Urgencias y Emergencias – CRUE y Movilidad; la definición de los protocolos para la operación de la Sala Unificada de Recepción – SUR y la modernización de la mayoría de los subsistemas que soportan la operación del NUSE 123. </w:t>
      </w:r>
      <w:r w:rsidRPr="004D3208">
        <w:rPr>
          <w:rFonts w:cs="Segoe UI"/>
        </w:rPr>
        <w:t> </w:t>
      </w:r>
    </w:p>
    <w:p w14:paraId="19A7D1A4" w14:textId="77777777" w:rsidR="006F2311" w:rsidRPr="004D3208" w:rsidRDefault="006F2311" w:rsidP="0063405E">
      <w:pPr>
        <w:spacing w:after="0" w:line="240" w:lineRule="auto"/>
        <w:jc w:val="both"/>
        <w:textAlignment w:val="baseline"/>
        <w:rPr>
          <w:rFonts w:cstheme="minorHAnsi"/>
        </w:rPr>
      </w:pPr>
      <w:r w:rsidRPr="004D3208">
        <w:rPr>
          <w:rFonts w:eastAsia="Times New Roman" w:cs="Segoe UI"/>
          <w:lang w:eastAsia="es-CO"/>
        </w:rPr>
        <w:t> </w:t>
      </w:r>
    </w:p>
    <w:p w14:paraId="56224224" w14:textId="77777777" w:rsidR="006F2311" w:rsidRDefault="006F2311" w:rsidP="0063405E">
      <w:pPr>
        <w:spacing w:after="0" w:line="240" w:lineRule="auto"/>
        <w:ind w:left="708"/>
        <w:jc w:val="both"/>
        <w:rPr>
          <w:rFonts w:cstheme="minorHAnsi"/>
        </w:rPr>
      </w:pPr>
      <w:r w:rsidRPr="004D3208">
        <w:rPr>
          <w:rFonts w:cstheme="minorHAnsi"/>
        </w:rPr>
        <w:t xml:space="preserve">Para el tema del fortalecimiento de las capacidades y la integración tecnológica del C4 se ha hecho énfasis en cuatro (4) líneas de trabajo, a saber: </w:t>
      </w:r>
    </w:p>
    <w:p w14:paraId="7B503671" w14:textId="77777777" w:rsidR="006F2311" w:rsidRDefault="006F2311" w:rsidP="0063405E">
      <w:pPr>
        <w:pStyle w:val="Prrafodelista"/>
        <w:numPr>
          <w:ilvl w:val="0"/>
          <w:numId w:val="30"/>
        </w:numPr>
        <w:spacing w:after="0" w:line="240" w:lineRule="auto"/>
        <w:jc w:val="both"/>
        <w:rPr>
          <w:rFonts w:cstheme="minorHAnsi"/>
        </w:rPr>
      </w:pPr>
      <w:r>
        <w:rPr>
          <w:rFonts w:cstheme="minorHAnsi"/>
          <w:b/>
        </w:rPr>
        <w:t>A</w:t>
      </w:r>
      <w:r w:rsidRPr="00050779">
        <w:rPr>
          <w:rFonts w:cstheme="minorHAnsi"/>
          <w:b/>
        </w:rPr>
        <w:t>ctualización de algunos componentes de la plataforma tecnológica empleada por el sistema NUSE:</w:t>
      </w:r>
      <w:r>
        <w:rPr>
          <w:rFonts w:cstheme="minorHAnsi"/>
        </w:rPr>
        <w:t xml:space="preserve"> </w:t>
      </w:r>
      <w:r w:rsidR="00F53DAD" w:rsidRPr="00050779">
        <w:rPr>
          <w:rFonts w:cstheme="minorHAnsi"/>
        </w:rPr>
        <w:t>En 2018 se culminó de implementar la actualización de algunos componentes de la plataforma tecnológica empleada por el sistema NUSE. En el primer semestre de 2019 se comenzó con la formulación e implementación de un plan de trabajo operativo para verificar el correcto funcionamiento de la plataforma del sistema NUSE en alta disponibilidad y realizar los ajustes que llegaren a requerirse.</w:t>
      </w:r>
      <w:r w:rsidRPr="00050779">
        <w:rPr>
          <w:rFonts w:cstheme="minorHAnsi"/>
        </w:rPr>
        <w:t xml:space="preserve"> </w:t>
      </w:r>
    </w:p>
    <w:p w14:paraId="4F45854F" w14:textId="77777777" w:rsidR="006F2311" w:rsidRPr="00050779" w:rsidRDefault="006F2311" w:rsidP="0063405E">
      <w:pPr>
        <w:pStyle w:val="Prrafodelista"/>
        <w:spacing w:after="0" w:line="240" w:lineRule="auto"/>
        <w:ind w:left="1428"/>
        <w:jc w:val="both"/>
        <w:rPr>
          <w:rFonts w:cstheme="minorHAnsi"/>
        </w:rPr>
      </w:pPr>
    </w:p>
    <w:p w14:paraId="39181612" w14:textId="77777777" w:rsidR="006F2311" w:rsidRDefault="006F2311" w:rsidP="0063405E">
      <w:pPr>
        <w:pStyle w:val="Prrafodelista"/>
        <w:numPr>
          <w:ilvl w:val="0"/>
          <w:numId w:val="30"/>
        </w:numPr>
        <w:spacing w:after="0" w:line="240" w:lineRule="auto"/>
        <w:jc w:val="both"/>
        <w:rPr>
          <w:rFonts w:cstheme="minorHAnsi"/>
        </w:rPr>
      </w:pPr>
      <w:r>
        <w:rPr>
          <w:rFonts w:cstheme="minorHAnsi"/>
          <w:b/>
        </w:rPr>
        <w:t>P</w:t>
      </w:r>
      <w:r w:rsidRPr="005A3541">
        <w:rPr>
          <w:rFonts w:cstheme="minorHAnsi"/>
          <w:b/>
        </w:rPr>
        <w:t xml:space="preserve">uesta en marcha del sistema de radios troncalizados: </w:t>
      </w:r>
      <w:r w:rsidRPr="005A3541">
        <w:rPr>
          <w:rFonts w:cstheme="minorHAnsi"/>
        </w:rPr>
        <w:t>En cuanto a la puesta en marcha del sistema de radio troncalizado, en este documento, se presenta el detalle de este.</w:t>
      </w:r>
    </w:p>
    <w:p w14:paraId="6C13795E" w14:textId="77777777" w:rsidR="006F2311" w:rsidRPr="005A3541" w:rsidRDefault="006F2311" w:rsidP="0063405E">
      <w:pPr>
        <w:spacing w:after="0" w:line="240" w:lineRule="auto"/>
        <w:jc w:val="both"/>
        <w:rPr>
          <w:rFonts w:cstheme="minorHAnsi"/>
        </w:rPr>
      </w:pPr>
    </w:p>
    <w:p w14:paraId="4223FA44" w14:textId="77777777" w:rsidR="006F2311" w:rsidRDefault="006F2311" w:rsidP="0063405E">
      <w:pPr>
        <w:pStyle w:val="Prrafodelista"/>
        <w:numPr>
          <w:ilvl w:val="0"/>
          <w:numId w:val="30"/>
        </w:numPr>
        <w:spacing w:after="0" w:line="240" w:lineRule="auto"/>
        <w:jc w:val="both"/>
        <w:rPr>
          <w:rFonts w:cstheme="minorHAnsi"/>
        </w:rPr>
      </w:pPr>
      <w:r>
        <w:rPr>
          <w:rFonts w:cstheme="minorHAnsi"/>
          <w:b/>
        </w:rPr>
        <w:t>I</w:t>
      </w:r>
      <w:r w:rsidRPr="005A3541">
        <w:rPr>
          <w:rFonts w:cstheme="minorHAnsi"/>
          <w:b/>
        </w:rPr>
        <w:t>mplementación de un nuevo CAD (</w:t>
      </w:r>
      <w:proofErr w:type="spellStart"/>
      <w:r w:rsidRPr="005A3541">
        <w:rPr>
          <w:rFonts w:cstheme="minorHAnsi"/>
          <w:b/>
        </w:rPr>
        <w:t>Computer</w:t>
      </w:r>
      <w:proofErr w:type="spellEnd"/>
      <w:r w:rsidRPr="005A3541">
        <w:rPr>
          <w:rFonts w:cstheme="minorHAnsi"/>
          <w:b/>
        </w:rPr>
        <w:t xml:space="preserve"> </w:t>
      </w:r>
      <w:proofErr w:type="spellStart"/>
      <w:r w:rsidRPr="005A3541">
        <w:rPr>
          <w:rFonts w:cstheme="minorHAnsi"/>
          <w:b/>
        </w:rPr>
        <w:t>Aided</w:t>
      </w:r>
      <w:proofErr w:type="spellEnd"/>
      <w:r w:rsidRPr="005A3541">
        <w:rPr>
          <w:rFonts w:cstheme="minorHAnsi"/>
          <w:b/>
        </w:rPr>
        <w:t xml:space="preserve"> </w:t>
      </w:r>
      <w:proofErr w:type="spellStart"/>
      <w:r w:rsidRPr="005A3541">
        <w:rPr>
          <w:rFonts w:cstheme="minorHAnsi"/>
          <w:b/>
        </w:rPr>
        <w:t>Dispatch</w:t>
      </w:r>
      <w:proofErr w:type="spellEnd"/>
      <w:r w:rsidRPr="005A3541">
        <w:rPr>
          <w:rFonts w:cstheme="minorHAnsi"/>
          <w:b/>
        </w:rPr>
        <w:t>) en la Recepción y Despacho:</w:t>
      </w:r>
      <w:r w:rsidRPr="00050779">
        <w:rPr>
          <w:rFonts w:cstheme="minorHAnsi"/>
        </w:rPr>
        <w:t xml:space="preserve"> </w:t>
      </w:r>
      <w:r w:rsidRPr="005A3541">
        <w:rPr>
          <w:rFonts w:cstheme="minorHAnsi"/>
        </w:rPr>
        <w:t>Se avanza en la modernización tecnológica del subsistema de recepción y despacho CAD (</w:t>
      </w:r>
      <w:proofErr w:type="spellStart"/>
      <w:r w:rsidRPr="005A3541">
        <w:rPr>
          <w:rFonts w:cstheme="minorHAnsi"/>
        </w:rPr>
        <w:t>Computer</w:t>
      </w:r>
      <w:proofErr w:type="spellEnd"/>
      <w:r w:rsidRPr="005A3541">
        <w:rPr>
          <w:rFonts w:cstheme="minorHAnsi"/>
        </w:rPr>
        <w:t xml:space="preserve"> </w:t>
      </w:r>
      <w:proofErr w:type="spellStart"/>
      <w:r w:rsidRPr="005A3541">
        <w:rPr>
          <w:rFonts w:cstheme="minorHAnsi"/>
        </w:rPr>
        <w:t>Aided</w:t>
      </w:r>
      <w:proofErr w:type="spellEnd"/>
      <w:r w:rsidRPr="005A3541">
        <w:rPr>
          <w:rFonts w:cstheme="minorHAnsi"/>
        </w:rPr>
        <w:t xml:space="preserve"> </w:t>
      </w:r>
      <w:proofErr w:type="spellStart"/>
      <w:r w:rsidRPr="005A3541">
        <w:rPr>
          <w:rFonts w:cstheme="minorHAnsi"/>
        </w:rPr>
        <w:t>Dispatch</w:t>
      </w:r>
      <w:proofErr w:type="spellEnd"/>
      <w:r w:rsidRPr="005A3541">
        <w:rPr>
          <w:rFonts w:cstheme="minorHAnsi"/>
        </w:rPr>
        <w:t xml:space="preserve">) de la plataforma tecnológica del </w:t>
      </w:r>
      <w:r w:rsidRPr="005A3541">
        <w:rPr>
          <w:rFonts w:cstheme="minorHAnsi"/>
        </w:rPr>
        <w:lastRenderedPageBreak/>
        <w:t>sistema NUSE 123, contratada por la Secretaría con el aliado tecnológico ETB. Esta nueva solución de CAD integrará las funcionalidades que se derivan de los subsistemas de video vigilancia y radiocomunicaciones, lo cual permitirá operar de una forma más eficiente, así como gestionar los recursos del sistema NUSE 123 de una manera más eficaz.</w:t>
      </w:r>
    </w:p>
    <w:p w14:paraId="7944EAED" w14:textId="77777777" w:rsidR="006F2311" w:rsidRDefault="006F2311" w:rsidP="0063405E">
      <w:pPr>
        <w:pStyle w:val="Prrafodelista"/>
        <w:spacing w:after="0" w:line="240" w:lineRule="auto"/>
        <w:ind w:left="1428"/>
        <w:jc w:val="both"/>
        <w:rPr>
          <w:rFonts w:cstheme="minorHAnsi"/>
        </w:rPr>
      </w:pPr>
    </w:p>
    <w:p w14:paraId="63F57956" w14:textId="77777777" w:rsidR="006F2311" w:rsidRDefault="006F2311" w:rsidP="0063405E">
      <w:pPr>
        <w:pStyle w:val="Prrafodelista"/>
        <w:spacing w:after="0" w:line="240" w:lineRule="auto"/>
        <w:ind w:left="1428"/>
        <w:jc w:val="both"/>
        <w:rPr>
          <w:rFonts w:cstheme="minorHAnsi"/>
        </w:rPr>
      </w:pPr>
      <w:r w:rsidRPr="005A3541">
        <w:rPr>
          <w:rFonts w:cstheme="minorHAnsi"/>
        </w:rPr>
        <w:t xml:space="preserve">Durante el presente año, el C4 ha liderado mesas de trabajo para el levantamiento y análisis de información con las agencias IDIGER, Bomberos, MEBOG, DUES-CRUE, Movilidad, en donde se han definido los procesos que cada una lleva para la atención de la operación, así como también se han levantado los requerimientos en busca de una mejor funcionalidad para la atención de los servicios de emergencia. Adicionalmente, se ha documentado toda la operación teniendo en cuenta las necesidades y requerimientos de las agencias con el objetivo final de llevar a cabo la parametrización de la plataforma </w:t>
      </w:r>
      <w:proofErr w:type="spellStart"/>
      <w:r w:rsidRPr="005A3541">
        <w:rPr>
          <w:rFonts w:cstheme="minorHAnsi"/>
        </w:rPr>
        <w:t>PremierOne</w:t>
      </w:r>
      <w:proofErr w:type="spellEnd"/>
      <w:r w:rsidRPr="005A3541">
        <w:rPr>
          <w:rFonts w:cstheme="minorHAnsi"/>
        </w:rPr>
        <w:t>.</w:t>
      </w:r>
    </w:p>
    <w:p w14:paraId="5B3CC02B" w14:textId="77777777" w:rsidR="006F2311" w:rsidRPr="005A3541" w:rsidRDefault="006F2311" w:rsidP="0063405E">
      <w:pPr>
        <w:pStyle w:val="Prrafodelista"/>
        <w:spacing w:after="0" w:line="240" w:lineRule="auto"/>
        <w:ind w:left="1428"/>
        <w:jc w:val="both"/>
        <w:rPr>
          <w:rFonts w:cstheme="minorHAnsi"/>
        </w:rPr>
      </w:pPr>
    </w:p>
    <w:p w14:paraId="44A508FD" w14:textId="77777777" w:rsidR="006F2311" w:rsidRPr="005A3541" w:rsidRDefault="006F2311" w:rsidP="0063405E">
      <w:pPr>
        <w:pStyle w:val="Prrafodelista"/>
        <w:numPr>
          <w:ilvl w:val="0"/>
          <w:numId w:val="30"/>
        </w:numPr>
        <w:spacing w:line="240" w:lineRule="auto"/>
        <w:jc w:val="both"/>
        <w:rPr>
          <w:rFonts w:cstheme="minorHAnsi"/>
        </w:rPr>
      </w:pPr>
      <w:r w:rsidRPr="005A3541">
        <w:rPr>
          <w:rFonts w:cstheme="minorHAnsi"/>
          <w:b/>
        </w:rPr>
        <w:t xml:space="preserve">La adquisición e implementación de una nueva planta telefónica NG911 (Next </w:t>
      </w:r>
      <w:proofErr w:type="spellStart"/>
      <w:r w:rsidRPr="005A3541">
        <w:rPr>
          <w:rFonts w:cstheme="minorHAnsi"/>
          <w:b/>
        </w:rPr>
        <w:t>Generation</w:t>
      </w:r>
      <w:proofErr w:type="spellEnd"/>
      <w:r w:rsidRPr="005A3541">
        <w:rPr>
          <w:rFonts w:cstheme="minorHAnsi"/>
          <w:b/>
        </w:rPr>
        <w:t xml:space="preserve"> 911):</w:t>
      </w:r>
      <w:r>
        <w:rPr>
          <w:rFonts w:cstheme="minorHAnsi"/>
        </w:rPr>
        <w:t xml:space="preserve"> </w:t>
      </w:r>
      <w:r w:rsidRPr="005A3541">
        <w:rPr>
          <w:rFonts w:cstheme="minorHAnsi"/>
        </w:rPr>
        <w:t xml:space="preserve">en el mes de octubre de 2019, la SDSCJ contrató a través del operador tecnológico ETB la nueva planta telefónica NG911 (Fase 2 de la Modernización) que se integrará con los demás subsistemas de la plataforma del sistema NUSE 123, en particular con el nuevo CAD </w:t>
      </w:r>
      <w:proofErr w:type="spellStart"/>
      <w:r w:rsidRPr="005A3541">
        <w:rPr>
          <w:rFonts w:cstheme="minorHAnsi"/>
        </w:rPr>
        <w:t>PremierOne</w:t>
      </w:r>
      <w:proofErr w:type="spellEnd"/>
      <w:r w:rsidRPr="005A3541">
        <w:rPr>
          <w:rFonts w:cstheme="minorHAnsi"/>
        </w:rPr>
        <w:t xml:space="preserve">, a la vez que dispone de las funcionalidades de comunicación mediante mensajes cortos de texto (SMS – (Short </w:t>
      </w:r>
      <w:proofErr w:type="spellStart"/>
      <w:r w:rsidRPr="005A3541">
        <w:rPr>
          <w:rFonts w:cstheme="minorHAnsi"/>
        </w:rPr>
        <w:t>Message</w:t>
      </w:r>
      <w:proofErr w:type="spellEnd"/>
      <w:r w:rsidRPr="005A3541">
        <w:rPr>
          <w:rFonts w:cstheme="minorHAnsi"/>
        </w:rPr>
        <w:t xml:space="preserve"> </w:t>
      </w:r>
      <w:proofErr w:type="spellStart"/>
      <w:r w:rsidRPr="005A3541">
        <w:rPr>
          <w:rFonts w:cstheme="minorHAnsi"/>
        </w:rPr>
        <w:t>Service</w:t>
      </w:r>
      <w:proofErr w:type="spellEnd"/>
      <w:r w:rsidRPr="005A3541">
        <w:rPr>
          <w:rFonts w:cstheme="minorHAnsi"/>
        </w:rPr>
        <w:t>), que pueden ser enviados desde cualquier tipo de terminal móvil.</w:t>
      </w:r>
    </w:p>
    <w:p w14:paraId="0A56A3CF" w14:textId="77777777" w:rsidR="006F2311" w:rsidRDefault="006F2311" w:rsidP="0063405E">
      <w:pPr>
        <w:spacing w:after="0" w:line="240" w:lineRule="auto"/>
        <w:jc w:val="both"/>
        <w:rPr>
          <w:rFonts w:cstheme="minorHAnsi"/>
        </w:rPr>
      </w:pPr>
      <w:r w:rsidRPr="004D3208">
        <w:rPr>
          <w:rFonts w:cstheme="minorHAnsi"/>
        </w:rPr>
        <w:t>Sin embargo, el C4 para su estructuración y funcionamiento no precisa solamente de inversiones destinadas a fortalecerlo desde el punto de vista tecnológico, también es necesario acompañarlo de una infraestructura institucional y normativa que coadyuve a su correcto funcionamiento. En concordancia con lo anterior, el señor Alcalde Mayor de la ciudad profirió el pasado veintisiete (27) de Agosto el Decreto 510 de 2019 por medio del cual se reglamentó el Sistema Centro de Comando, Control, Comunicaciones y Cómputo -C4-. El marco legal que presupone la norma en cuestión define al sistema mismo, sus objetivos, sus instancias y componentes, las funciones de éstas y de aquellos, los procedimientos para la toma de decisiones y las previsiones presupuestales para su funcionamiento.</w:t>
      </w:r>
    </w:p>
    <w:p w14:paraId="38D70422" w14:textId="77777777" w:rsidR="006F2311" w:rsidRPr="005A3541" w:rsidRDefault="006F2311" w:rsidP="0063405E">
      <w:pPr>
        <w:spacing w:after="0" w:line="240" w:lineRule="auto"/>
        <w:jc w:val="both"/>
        <w:rPr>
          <w:rFonts w:cstheme="minorHAnsi"/>
        </w:rPr>
      </w:pPr>
    </w:p>
    <w:p w14:paraId="2BC64E37" w14:textId="77777777" w:rsidR="006F2311" w:rsidRPr="005A3541" w:rsidRDefault="006F2311" w:rsidP="0063405E">
      <w:pPr>
        <w:pStyle w:val="Prrafodelista"/>
        <w:numPr>
          <w:ilvl w:val="0"/>
          <w:numId w:val="29"/>
        </w:numPr>
        <w:suppressAutoHyphens/>
        <w:spacing w:after="0" w:line="240" w:lineRule="auto"/>
        <w:jc w:val="both"/>
        <w:outlineLvl w:val="2"/>
        <w:rPr>
          <w:rFonts w:cstheme="minorHAnsi"/>
          <w:b/>
          <w:i/>
        </w:rPr>
      </w:pPr>
      <w:bookmarkStart w:id="3" w:name="_Toc535219158"/>
      <w:r w:rsidRPr="005A3541">
        <w:rPr>
          <w:rFonts w:cstheme="minorHAnsi"/>
          <w:b/>
          <w:i/>
        </w:rPr>
        <w:t>Sistema de video vigilancia</w:t>
      </w:r>
      <w:bookmarkEnd w:id="3"/>
      <w:r w:rsidRPr="005A3541">
        <w:rPr>
          <w:rFonts w:cstheme="minorHAnsi"/>
          <w:b/>
          <w:i/>
        </w:rPr>
        <w:t xml:space="preserve">: </w:t>
      </w:r>
      <w:r w:rsidRPr="005A3541">
        <w:rPr>
          <w:rFonts w:cstheme="minorHAnsi"/>
        </w:rPr>
        <w:t>Desde su creación en el año 2016, la Secretaría Distrital de Seguridad, Convivencia y Justicia inició la creación de un sistema de videovigilancia ciudadana al servicio de la Policía Metropolitana de Bogotá, coadyuvando al cumplimiento de la meta consistente en contar con el “</w:t>
      </w:r>
      <w:r w:rsidRPr="005A3541">
        <w:rPr>
          <w:rFonts w:cstheme="minorHAnsi"/>
          <w:i/>
        </w:rPr>
        <w:t xml:space="preserve">100% Diseñado e implementado </w:t>
      </w:r>
      <w:r w:rsidRPr="00BC6F30">
        <w:rPr>
          <w:rFonts w:cstheme="minorHAnsi"/>
          <w:i/>
        </w:rPr>
        <w:t>el Centro de Comando y Control</w:t>
      </w:r>
      <w:r w:rsidRPr="00BC6F30">
        <w:rPr>
          <w:rFonts w:cstheme="minorHAnsi"/>
        </w:rPr>
        <w:t>”</w:t>
      </w:r>
      <w:r w:rsidRPr="005A3541">
        <w:rPr>
          <w:rFonts w:cstheme="minorHAnsi"/>
        </w:rPr>
        <w:t xml:space="preserve">, establecida en el Plan de Desarrollo “Bogotá Mejor Para Todos” 2016-2020. </w:t>
      </w:r>
    </w:p>
    <w:p w14:paraId="71B360DB" w14:textId="77777777" w:rsidR="006F2311" w:rsidRPr="00E37BAA" w:rsidRDefault="006F2311" w:rsidP="0063405E">
      <w:pPr>
        <w:spacing w:after="0" w:line="240" w:lineRule="auto"/>
        <w:jc w:val="both"/>
        <w:rPr>
          <w:rFonts w:cstheme="minorHAnsi"/>
        </w:rPr>
      </w:pPr>
    </w:p>
    <w:p w14:paraId="09979957" w14:textId="77777777" w:rsidR="006F2311" w:rsidRPr="00E37BAA" w:rsidRDefault="006F2311" w:rsidP="0063405E">
      <w:pPr>
        <w:spacing w:after="0" w:line="240" w:lineRule="auto"/>
        <w:ind w:left="708"/>
        <w:jc w:val="both"/>
        <w:rPr>
          <w:rFonts w:cstheme="minorHAnsi"/>
        </w:rPr>
      </w:pPr>
      <w:r w:rsidRPr="00E37BAA">
        <w:rPr>
          <w:rFonts w:cstheme="minorHAnsi"/>
        </w:rPr>
        <w:t>Analizado tal como corresponde desde lo establecido en el Plan de Desarrollo, el proyecto en cuestión tenía como propósito fundamental aumentar la cantidad de puntos de video vigilancia ciudadana instalados a lo largo y ancho de la Capital y permitir su monitoreo por parte de la Policía Metropolitana de Bogotá –MEBOG- desde el Centro de Comando, Control, Comunicaciones y Cómputo de Bogotá – C4 y los centros de monitoreo dispuestos en los Comandos Operativos de Seguridad Ciudadana – COSEC-.</w:t>
      </w:r>
    </w:p>
    <w:p w14:paraId="17E241C0" w14:textId="77777777" w:rsidR="006F2311" w:rsidRPr="00E37BAA" w:rsidRDefault="006F2311" w:rsidP="0063405E">
      <w:pPr>
        <w:spacing w:after="0" w:line="240" w:lineRule="auto"/>
        <w:jc w:val="both"/>
        <w:rPr>
          <w:rFonts w:cstheme="minorHAnsi"/>
        </w:rPr>
      </w:pPr>
    </w:p>
    <w:p w14:paraId="5E011D7E" w14:textId="77777777" w:rsidR="006F2311" w:rsidRDefault="006F2311" w:rsidP="0063405E">
      <w:pPr>
        <w:spacing w:after="0" w:line="240" w:lineRule="auto"/>
        <w:ind w:left="708"/>
        <w:jc w:val="both"/>
        <w:rPr>
          <w:rFonts w:eastAsia="Arial" w:cstheme="minorHAnsi"/>
        </w:rPr>
      </w:pPr>
      <w:r w:rsidRPr="00E37BAA">
        <w:rPr>
          <w:rFonts w:eastAsia="Arial" w:cstheme="minorHAnsi"/>
        </w:rPr>
        <w:lastRenderedPageBreak/>
        <w:t xml:space="preserve">Al respecto es necesario tener en cuenta que a junio de 2016 la ciudad contaba con trescientas setenta y siete (377) cámaras, lo que aunado a la existencia de solo cuatro (4) centros de monitoreo, no garantizaba la integralidad y universalidad de la videovigilancia ciudadana ejercida por la Policía Metropolitana ni tampoco la posibilidad de configurar un sistema alrededor del cual operaran las diversas agencias de seguridad y atención de riesgos y emergencias de la ciudad.  </w:t>
      </w:r>
    </w:p>
    <w:p w14:paraId="6BD55432" w14:textId="77777777" w:rsidR="006F2311" w:rsidRPr="00E37BAA" w:rsidRDefault="006F2311" w:rsidP="0063405E">
      <w:pPr>
        <w:spacing w:after="0" w:line="240" w:lineRule="auto"/>
        <w:ind w:left="708"/>
        <w:jc w:val="both"/>
        <w:rPr>
          <w:rFonts w:eastAsia="Arial" w:cstheme="minorHAnsi"/>
        </w:rPr>
      </w:pPr>
    </w:p>
    <w:p w14:paraId="720BF1CE" w14:textId="77777777" w:rsidR="006F2311" w:rsidRPr="00E37BAA" w:rsidRDefault="006F2311" w:rsidP="0063405E">
      <w:pPr>
        <w:spacing w:after="0" w:line="240" w:lineRule="auto"/>
        <w:ind w:left="708"/>
        <w:jc w:val="both"/>
        <w:rPr>
          <w:rFonts w:eastAsia="Arial" w:cstheme="minorHAnsi"/>
        </w:rPr>
      </w:pPr>
      <w:r w:rsidRPr="00E37BAA">
        <w:rPr>
          <w:rFonts w:eastAsia="Arial" w:cstheme="minorHAnsi"/>
        </w:rPr>
        <w:t>Hoy, la situación es diferente, el Sistema Distrital de Video Vigilancia al mes de octubre de 2019 cuenta con 4.232 cámaras de video vigilancia instaladas y visualizadas en el Centro de Comando Control Comunicaciones y Computo. Adicionalmente, se han interconectado 176 cámaras de centros comerciales.</w:t>
      </w:r>
    </w:p>
    <w:p w14:paraId="4F485E8D" w14:textId="77777777" w:rsidR="006F2311" w:rsidRPr="00E37BAA" w:rsidRDefault="006F2311" w:rsidP="0063405E">
      <w:pPr>
        <w:spacing w:after="0" w:line="240" w:lineRule="auto"/>
        <w:jc w:val="both"/>
        <w:rPr>
          <w:rFonts w:eastAsia="Arial" w:cstheme="minorHAnsi"/>
        </w:rPr>
      </w:pPr>
    </w:p>
    <w:p w14:paraId="266024A9" w14:textId="77777777" w:rsidR="006F2311" w:rsidRPr="00E37BAA" w:rsidRDefault="006F2311" w:rsidP="0063405E">
      <w:pPr>
        <w:suppressAutoHyphens/>
        <w:spacing w:after="0" w:line="240" w:lineRule="auto"/>
        <w:ind w:left="708"/>
        <w:jc w:val="both"/>
        <w:rPr>
          <w:rFonts w:cstheme="minorHAnsi"/>
        </w:rPr>
      </w:pPr>
      <w:r>
        <w:rPr>
          <w:rFonts w:eastAsia="Arial" w:cstheme="minorHAnsi"/>
        </w:rPr>
        <w:t xml:space="preserve">Adicionalmente, </w:t>
      </w:r>
      <w:r w:rsidRPr="00E37BAA">
        <w:rPr>
          <w:rFonts w:eastAsia="Arial" w:cstheme="minorHAnsi"/>
        </w:rPr>
        <w:t xml:space="preserve">la ciudad cuenta con siete (7) centros de monitoreo con cobertura y alcance en diecinueve (19) de sus veinte (20) localidades más el Centro de Comando, Control, Comunicaciones y Cómputo (C4) donde convergen tanto las señales y grabaciones de las cámaras de videovigilancia como las comunicaciones de la Policía Metropolitana de Bogotá, del Instituto Distrital de Recreación y Deporte (IDRD), del Centro Regulador de Urgencias y Emergencias de la Secretaría Distrital de Salud (CRUE), del Instituto Distrital de Gestión de Riesgos y Cambio Climático (IDIGER) y el Número Único de Seguridad y Emergencias (NUSE). Con respecto a este último es preciso resaltar la </w:t>
      </w:r>
      <w:r w:rsidRPr="00E37BAA">
        <w:rPr>
          <w:rFonts w:eastAsia="Cambria" w:cstheme="minorHAnsi"/>
          <w:bCs/>
        </w:rPr>
        <w:t>adquisición, modernización y puesta en funcionamiento de su Plataforma de comunicaciones</w:t>
      </w:r>
      <w:r w:rsidRPr="00E37BAA">
        <w:rPr>
          <w:rFonts w:eastAsia="Arial" w:cstheme="minorHAnsi"/>
        </w:rPr>
        <w:t>.</w:t>
      </w:r>
      <w:r w:rsidRPr="00E37BAA">
        <w:rPr>
          <w:rFonts w:eastAsia="Cambria" w:cstheme="minorHAnsi"/>
          <w:bCs/>
        </w:rPr>
        <w:t xml:space="preserve">  </w:t>
      </w:r>
    </w:p>
    <w:p w14:paraId="516B2E47" w14:textId="77777777" w:rsidR="006F2311" w:rsidRPr="00E37BAA" w:rsidRDefault="006F2311" w:rsidP="0063405E">
      <w:pPr>
        <w:spacing w:after="0" w:line="240" w:lineRule="auto"/>
        <w:jc w:val="both"/>
        <w:rPr>
          <w:rFonts w:eastAsia="Arial" w:cstheme="minorHAnsi"/>
        </w:rPr>
      </w:pPr>
    </w:p>
    <w:p w14:paraId="17DB2D31" w14:textId="77777777" w:rsidR="006F2311" w:rsidRPr="00E37BAA" w:rsidRDefault="006F2311" w:rsidP="0063405E">
      <w:pPr>
        <w:suppressAutoHyphens/>
        <w:spacing w:after="0" w:line="240" w:lineRule="auto"/>
        <w:ind w:left="708"/>
        <w:jc w:val="both"/>
        <w:rPr>
          <w:rFonts w:cstheme="minorHAnsi"/>
        </w:rPr>
      </w:pPr>
      <w:r w:rsidRPr="00E37BAA">
        <w:rPr>
          <w:rFonts w:cstheme="minorHAnsi"/>
          <w:iCs/>
        </w:rPr>
        <w:t xml:space="preserve">Así mismo, la </w:t>
      </w:r>
      <w:r w:rsidRPr="00E37BAA">
        <w:rPr>
          <w:rFonts w:cstheme="minorHAnsi"/>
        </w:rPr>
        <w:t>Secretaría Distrital de Seguridad, Convivencia y Justicia</w:t>
      </w:r>
      <w:r w:rsidRPr="00E37BAA">
        <w:rPr>
          <w:rFonts w:cstheme="minorHAnsi"/>
          <w:iCs/>
        </w:rPr>
        <w:t xml:space="preserve"> adquirió para la operación de la Décima Tercera Brigada </w:t>
      </w:r>
      <w:r w:rsidRPr="00E37BAA">
        <w:rPr>
          <w:rFonts w:eastAsia="Cambria" w:cstheme="minorHAnsi"/>
          <w:bCs/>
        </w:rPr>
        <w:t xml:space="preserve">una Plataforma Militar Táctica de Comunicaciones con la capacidad de transmitir voz, video y geoposicionamiento en tiempo real, en la ciudad de Bogotá, su periferia y corredores de acceso, que complementó e integró las diferentes redes de comunicaciones existentes en la Brigada 13 del Ejercito Nacional” para de esta manera contribuir a garantizar la seguridad de la ciudad en sus fronteras. </w:t>
      </w:r>
    </w:p>
    <w:p w14:paraId="4E616AA5" w14:textId="77777777" w:rsidR="006F2311" w:rsidRPr="00E37BAA" w:rsidRDefault="006F2311" w:rsidP="0063405E">
      <w:pPr>
        <w:suppressAutoHyphens/>
        <w:spacing w:after="0" w:line="240" w:lineRule="auto"/>
        <w:jc w:val="both"/>
        <w:rPr>
          <w:rFonts w:eastAsia="Cambria" w:cstheme="minorHAnsi"/>
          <w:bCs/>
        </w:rPr>
      </w:pPr>
    </w:p>
    <w:p w14:paraId="0A451E7A" w14:textId="0F0BD787" w:rsidR="006F2311" w:rsidRPr="00E37BAA" w:rsidRDefault="006F2311" w:rsidP="0063405E">
      <w:pPr>
        <w:suppressAutoHyphens/>
        <w:spacing w:after="0" w:line="240" w:lineRule="auto"/>
        <w:ind w:left="708"/>
        <w:jc w:val="both"/>
        <w:rPr>
          <w:rFonts w:cstheme="minorHAnsi"/>
        </w:rPr>
      </w:pPr>
      <w:r w:rsidRPr="00E37BAA">
        <w:rPr>
          <w:rFonts w:cstheme="minorHAnsi"/>
        </w:rPr>
        <w:t xml:space="preserve">Sin embargo, la actualización de los equipos y herramientas puestos a disposición de las agencias de seguridad no se restringió a la configuración del sistema de videovigilancia ciudadana sino que también implicó, desde la vigencia 2016, la contratación y entrega de elementos y equipos tendientes al fortalecimiento de acciones de inteligencia e investigación, y adquisición de dos mil cuatrocientos veinte (2420) equipos tecnológicos entregados a los organismos de seguridad y justicia, así mismo </w:t>
      </w:r>
      <w:r w:rsidRPr="00E37BAA">
        <w:rPr>
          <w:rFonts w:cstheme="minorHAnsi"/>
          <w:iCs/>
        </w:rPr>
        <w:t>487 equipos de investigación e inteligencia adquiridos y entregados a la Policía Metropolitana de Bogotá</w:t>
      </w:r>
      <w:r w:rsidR="007D413B">
        <w:rPr>
          <w:rFonts w:cstheme="minorHAnsi"/>
          <w:iCs/>
        </w:rPr>
        <w:t xml:space="preserve"> -</w:t>
      </w:r>
      <w:r w:rsidR="00356AC4">
        <w:rPr>
          <w:rFonts w:cstheme="minorHAnsi"/>
          <w:iCs/>
        </w:rPr>
        <w:t>MEBOG-</w:t>
      </w:r>
      <w:r w:rsidRPr="00E37BAA">
        <w:rPr>
          <w:rFonts w:cstheme="minorHAnsi"/>
          <w:iCs/>
        </w:rPr>
        <w:t xml:space="preserve"> y a la Dirección Seccional de Fiscalías. Dentro de tales equipos y elementos se encuentran el helicóptero para la Policía Metropolitana de Bogotá y los SIART (Sistemas Aéreos Remotamente Tripulados).</w:t>
      </w:r>
    </w:p>
    <w:p w14:paraId="0ACD95D3" w14:textId="77777777" w:rsidR="000048BE" w:rsidRPr="00E37BAA" w:rsidRDefault="000048BE" w:rsidP="0063405E">
      <w:pPr>
        <w:pStyle w:val="Prrafodelista"/>
        <w:spacing w:after="0" w:line="240" w:lineRule="auto"/>
        <w:ind w:left="0"/>
        <w:jc w:val="both"/>
        <w:rPr>
          <w:rFonts w:eastAsia="Arial" w:cstheme="minorHAnsi"/>
          <w:b/>
        </w:rPr>
      </w:pPr>
    </w:p>
    <w:p w14:paraId="7EABA0D9" w14:textId="77777777" w:rsidR="002E171F" w:rsidRPr="00E21C3C" w:rsidRDefault="002E171F" w:rsidP="0063405E">
      <w:pPr>
        <w:pStyle w:val="Prrafodelista"/>
        <w:numPr>
          <w:ilvl w:val="0"/>
          <w:numId w:val="28"/>
        </w:numPr>
        <w:spacing w:after="0" w:line="240" w:lineRule="auto"/>
        <w:jc w:val="both"/>
        <w:rPr>
          <w:rFonts w:cstheme="minorHAnsi"/>
          <w:u w:val="single"/>
        </w:rPr>
      </w:pPr>
      <w:bookmarkStart w:id="4" w:name="_Toc535219148"/>
      <w:r w:rsidRPr="00E21C3C">
        <w:rPr>
          <w:rFonts w:cstheme="minorHAnsi"/>
          <w:u w:val="single"/>
        </w:rPr>
        <w:t>Mejoramiento de infraestructura para la seguridad y justicia</w:t>
      </w:r>
      <w:bookmarkEnd w:id="4"/>
      <w:r>
        <w:rPr>
          <w:rFonts w:cstheme="minorHAnsi"/>
          <w:u w:val="single"/>
        </w:rPr>
        <w:t>:</w:t>
      </w:r>
    </w:p>
    <w:p w14:paraId="194694ED" w14:textId="77777777" w:rsidR="002E171F" w:rsidRPr="00E37BAA" w:rsidRDefault="002E171F" w:rsidP="0063405E">
      <w:pPr>
        <w:spacing w:after="0" w:line="240" w:lineRule="auto"/>
        <w:jc w:val="both"/>
        <w:rPr>
          <w:rFonts w:cstheme="minorHAnsi"/>
          <w:b/>
        </w:rPr>
      </w:pPr>
    </w:p>
    <w:p w14:paraId="43CC17BF" w14:textId="77777777" w:rsidR="002E171F" w:rsidRPr="00E21C3C" w:rsidRDefault="002E171F" w:rsidP="0063405E">
      <w:pPr>
        <w:pStyle w:val="Prrafodelista"/>
        <w:numPr>
          <w:ilvl w:val="0"/>
          <w:numId w:val="29"/>
        </w:numPr>
        <w:suppressAutoHyphens/>
        <w:spacing w:after="0" w:line="240" w:lineRule="auto"/>
        <w:jc w:val="both"/>
        <w:rPr>
          <w:rFonts w:cstheme="minorHAnsi"/>
          <w:b/>
          <w:i/>
        </w:rPr>
      </w:pPr>
      <w:r w:rsidRPr="00E37BAA">
        <w:rPr>
          <w:rFonts w:cstheme="minorHAnsi"/>
          <w:b/>
          <w:i/>
        </w:rPr>
        <w:t>Comando Policía Metropolitana de Bogotá</w:t>
      </w:r>
      <w:r>
        <w:rPr>
          <w:rFonts w:cstheme="minorHAnsi"/>
          <w:b/>
          <w:i/>
        </w:rPr>
        <w:t xml:space="preserve">: </w:t>
      </w:r>
      <w:r w:rsidRPr="00E21C3C">
        <w:rPr>
          <w:rFonts w:cstheme="minorHAnsi"/>
        </w:rPr>
        <w:t xml:space="preserve">El pasado 28 de diciembre de 2018, fecha de inicio de las actividades de construcción del contrato de obra No. 1132 de 2018 suscrito con el Consorcio de Seguridad Urbana Distrito Capital, cuyo objeto es la </w:t>
      </w:r>
      <w:r w:rsidRPr="00E21C3C">
        <w:rPr>
          <w:rFonts w:cstheme="minorHAnsi"/>
          <w:i/>
        </w:rPr>
        <w:t>“Construcción y reforzamiento de la nueva sede del Comando de la Policía Metropolitana de Bogotá</w:t>
      </w:r>
      <w:r w:rsidRPr="00E21C3C">
        <w:rPr>
          <w:rFonts w:cstheme="minorHAnsi"/>
          <w:i/>
          <w:noProof/>
        </w:rPr>
        <w:t>”</w:t>
      </w:r>
      <w:r>
        <w:rPr>
          <w:rFonts w:cstheme="minorHAnsi"/>
          <w:i/>
          <w:noProof/>
        </w:rPr>
        <w:t>,</w:t>
      </w:r>
      <w:r w:rsidRPr="00E21C3C">
        <w:rPr>
          <w:rFonts w:cstheme="minorHAnsi"/>
          <w:noProof/>
        </w:rPr>
        <w:t xml:space="preserve"> se atiende la ejecución de l</w:t>
      </w:r>
      <w:r w:rsidRPr="00E21C3C">
        <w:rPr>
          <w:rFonts w:cstheme="minorHAnsi"/>
        </w:rPr>
        <w:t xml:space="preserve">a meta de la actual administración para la construcción de la nueva sede del Comando de la MEBOG. El presupuesto destinado a tal obra asciende a </w:t>
      </w:r>
      <w:r>
        <w:t xml:space="preserve">ciento </w:t>
      </w:r>
      <w:r>
        <w:lastRenderedPageBreak/>
        <w:t>veinticinco mil seiscientos ochenta millones doscientos ochenta y cinco mil setecientos sesenta pesos (125.680.285.760 COP)</w:t>
      </w:r>
      <w:r w:rsidRPr="00E21C3C">
        <w:rPr>
          <w:rFonts w:cstheme="minorHAnsi"/>
        </w:rPr>
        <w:t xml:space="preserve">, su importancia para la ciudad es evidente si se tiene en cuenta que la ejecución de esta obra había sido postergada por diferentes razones cuando menos durante las dos administraciones distritales anteriores. </w:t>
      </w:r>
    </w:p>
    <w:p w14:paraId="07B7D774" w14:textId="77777777" w:rsidR="002E171F" w:rsidRDefault="002E171F" w:rsidP="0063405E">
      <w:pPr>
        <w:spacing w:after="0" w:line="240" w:lineRule="auto"/>
        <w:jc w:val="both"/>
        <w:rPr>
          <w:rFonts w:cstheme="minorHAnsi"/>
        </w:rPr>
      </w:pPr>
    </w:p>
    <w:p w14:paraId="32D1212F" w14:textId="77777777" w:rsidR="002E171F" w:rsidRDefault="002E171F" w:rsidP="0063405E">
      <w:pPr>
        <w:spacing w:after="0" w:line="240" w:lineRule="auto"/>
        <w:ind w:left="708"/>
        <w:jc w:val="both"/>
        <w:rPr>
          <w:rFonts w:cstheme="minorHAnsi"/>
        </w:rPr>
      </w:pPr>
      <w:r>
        <w:rPr>
          <w:rFonts w:cstheme="minorHAnsi"/>
        </w:rPr>
        <w:t>La decisión política, administrativa, jurídica y presupuestal de esta Administración para la terminación de esta importante obra se refleja en la celebración del citado contrato de obra, el incumplimiento declarado al anterior constructor y en las demandas presentadas por la SDSCJ.</w:t>
      </w:r>
    </w:p>
    <w:p w14:paraId="1BF2C9B7" w14:textId="77777777" w:rsidR="002E171F" w:rsidRDefault="002E171F" w:rsidP="0063405E">
      <w:pPr>
        <w:spacing w:after="0" w:line="240" w:lineRule="auto"/>
        <w:jc w:val="both"/>
        <w:rPr>
          <w:rFonts w:cstheme="minorHAnsi"/>
        </w:rPr>
      </w:pPr>
    </w:p>
    <w:p w14:paraId="4C312974" w14:textId="5338050B" w:rsidR="002E171F" w:rsidRDefault="002E171F" w:rsidP="0063405E">
      <w:pPr>
        <w:spacing w:after="0" w:line="240" w:lineRule="auto"/>
        <w:ind w:left="708"/>
        <w:jc w:val="both"/>
        <w:rPr>
          <w:rFonts w:cstheme="minorHAnsi"/>
        </w:rPr>
      </w:pPr>
      <w:r>
        <w:rPr>
          <w:rFonts w:cstheme="minorHAnsi"/>
        </w:rPr>
        <w:t xml:space="preserve">La ejecución de una obra de tamaña envergadura e importancia para la seguridad de la ciudad y su fuerza de </w:t>
      </w:r>
      <w:r w:rsidR="00356AC4">
        <w:rPr>
          <w:rFonts w:cstheme="minorHAnsi"/>
        </w:rPr>
        <w:t>policía</w:t>
      </w:r>
      <w:r>
        <w:rPr>
          <w:rFonts w:cstheme="minorHAnsi"/>
        </w:rPr>
        <w:t xml:space="preserve"> plantea retos importantes en cuanto a su ejecución y al adecuado seguimiento que de la misma se debe realizar por parte de todos los actores involucrados en ella principalmente la Administración Distrital en cabeza de la SDSCJ. La duración de esta obra está prevista inicialmente en dieciocho (18) y presenta un avance de obra actual del 19.94%. </w:t>
      </w:r>
    </w:p>
    <w:p w14:paraId="151014EB" w14:textId="77777777" w:rsidR="002E171F" w:rsidRDefault="002E171F" w:rsidP="0063405E">
      <w:pPr>
        <w:spacing w:after="0" w:line="240" w:lineRule="auto"/>
        <w:jc w:val="both"/>
        <w:rPr>
          <w:rFonts w:cstheme="minorHAnsi"/>
        </w:rPr>
      </w:pPr>
    </w:p>
    <w:p w14:paraId="24FF43AE" w14:textId="3B3AFE0C" w:rsidR="002E171F" w:rsidRPr="00E21C3C" w:rsidRDefault="002E171F" w:rsidP="0063405E">
      <w:pPr>
        <w:pStyle w:val="Prrafodelista"/>
        <w:numPr>
          <w:ilvl w:val="0"/>
          <w:numId w:val="29"/>
        </w:numPr>
        <w:suppressAutoHyphens/>
        <w:spacing w:after="0" w:line="240" w:lineRule="auto"/>
        <w:jc w:val="both"/>
        <w:rPr>
          <w:rFonts w:cstheme="minorHAnsi"/>
          <w:b/>
          <w:i/>
        </w:rPr>
      </w:pPr>
      <w:r w:rsidRPr="00E21C3C">
        <w:rPr>
          <w:rFonts w:cstheme="minorHAnsi"/>
          <w:b/>
          <w:i/>
        </w:rPr>
        <w:t xml:space="preserve">Comandos de Atención Inmediata </w:t>
      </w:r>
      <w:r>
        <w:rPr>
          <w:rFonts w:cstheme="minorHAnsi"/>
          <w:b/>
          <w:i/>
        </w:rPr>
        <w:t>–</w:t>
      </w:r>
      <w:r w:rsidRPr="00E21C3C">
        <w:rPr>
          <w:rFonts w:cstheme="minorHAnsi"/>
          <w:b/>
          <w:i/>
        </w:rPr>
        <w:t xml:space="preserve"> CAI</w:t>
      </w:r>
      <w:r>
        <w:rPr>
          <w:rFonts w:cstheme="minorHAnsi"/>
          <w:b/>
          <w:i/>
        </w:rPr>
        <w:t xml:space="preserve">: </w:t>
      </w:r>
      <w:r w:rsidRPr="00E21C3C">
        <w:rPr>
          <w:rFonts w:cs="Arial"/>
        </w:rPr>
        <w:t>Al igual que en lo atinente a la modernización y actualización tecnológica, la gestión adelantada por la SDSCJ a tiene como objetivo esencial aportar los medios necesarios para el  cumplimiento de la meta establecida en el Plan de Desarrollo “Bogotá Mejor para Todos</w:t>
      </w:r>
      <w:r>
        <w:rPr>
          <w:rFonts w:cs="Arial"/>
        </w:rPr>
        <w:t xml:space="preserve"> 2016-2020</w:t>
      </w:r>
      <w:r w:rsidRPr="00E21C3C">
        <w:rPr>
          <w:rFonts w:cs="Arial"/>
        </w:rPr>
        <w:t>” según la cual</w:t>
      </w:r>
      <w:r>
        <w:rPr>
          <w:rFonts w:cs="Arial"/>
        </w:rPr>
        <w:t>,</w:t>
      </w:r>
      <w:r w:rsidRPr="00E21C3C">
        <w:rPr>
          <w:rFonts w:cs="Arial"/>
        </w:rPr>
        <w:t xml:space="preserve"> al cabo del mismo</w:t>
      </w:r>
      <w:r>
        <w:rPr>
          <w:rFonts w:cs="Arial"/>
        </w:rPr>
        <w:t>,</w:t>
      </w:r>
      <w:r w:rsidRPr="00E21C3C">
        <w:rPr>
          <w:rFonts w:cs="Arial"/>
        </w:rPr>
        <w:t xml:space="preserve"> el número de Centros de Atención Inmediata </w:t>
      </w:r>
      <w:r w:rsidR="00356AC4">
        <w:rPr>
          <w:rFonts w:cs="Arial"/>
        </w:rPr>
        <w:t xml:space="preserve">-CAI- </w:t>
      </w:r>
      <w:r w:rsidRPr="00E21C3C">
        <w:rPr>
          <w:rFonts w:cs="Arial"/>
        </w:rPr>
        <w:t>en operación debía aumentar en un diez por ciento (10%) y con ello garantizar el control del delito en nuestra ciudad y de los comportamientos contrarios a la convivencia.  Así las cosas, durante las vigencias del 2016 al 2019 se contrató la construcción de nueve (9) CAI, de los cuales seis (6) ya han sido entregados a la Policía Metropolitana</w:t>
      </w:r>
      <w:r w:rsidR="00356AC4">
        <w:rPr>
          <w:rFonts w:cs="Arial"/>
        </w:rPr>
        <w:t xml:space="preserve"> de Bogotá</w:t>
      </w:r>
      <w:r w:rsidRPr="00F66661">
        <w:rPr>
          <w:rStyle w:val="Refdenotaalpie"/>
          <w:rFonts w:cs="Arial"/>
        </w:rPr>
        <w:footnoteReference w:id="3"/>
      </w:r>
      <w:r w:rsidRPr="00E21C3C">
        <w:rPr>
          <w:rFonts w:cs="Arial"/>
        </w:rPr>
        <w:t xml:space="preserve"> y en los próximos días se comenzará la construcción de los tres restantes mediante la ejecución del contrato 1031 de 2019 suscrito el pasado cuatro </w:t>
      </w:r>
      <w:r w:rsidR="00356AC4">
        <w:rPr>
          <w:rFonts w:cs="Arial"/>
        </w:rPr>
        <w:t>04</w:t>
      </w:r>
      <w:r w:rsidRPr="00E21C3C">
        <w:rPr>
          <w:rFonts w:cs="Arial"/>
        </w:rPr>
        <w:t xml:space="preserve"> de </w:t>
      </w:r>
      <w:r w:rsidR="00356AC4">
        <w:rPr>
          <w:rFonts w:cs="Arial"/>
        </w:rPr>
        <w:t>o</w:t>
      </w:r>
      <w:r w:rsidRPr="00E21C3C">
        <w:rPr>
          <w:rFonts w:cs="Arial"/>
        </w:rPr>
        <w:t>ctubre</w:t>
      </w:r>
      <w:r w:rsidRPr="00F66661">
        <w:rPr>
          <w:rStyle w:val="Refdenotaalpie"/>
          <w:rFonts w:cs="Arial"/>
        </w:rPr>
        <w:footnoteReference w:id="4"/>
      </w:r>
      <w:r w:rsidRPr="00E21C3C">
        <w:rPr>
          <w:rFonts w:cs="Arial"/>
        </w:rPr>
        <w:t xml:space="preserve">. </w:t>
      </w:r>
    </w:p>
    <w:p w14:paraId="6FD4288C" w14:textId="77777777" w:rsidR="002E171F" w:rsidRPr="00F66661" w:rsidRDefault="002E171F" w:rsidP="0063405E">
      <w:pPr>
        <w:pStyle w:val="Sinespaciado"/>
        <w:jc w:val="both"/>
        <w:rPr>
          <w:rFonts w:asciiTheme="minorHAnsi" w:hAnsiTheme="minorHAnsi" w:cs="Arial"/>
          <w:sz w:val="22"/>
          <w:szCs w:val="22"/>
        </w:rPr>
      </w:pPr>
    </w:p>
    <w:p w14:paraId="392487DC" w14:textId="2ACB8A41" w:rsidR="002E171F" w:rsidRPr="008C4C21" w:rsidRDefault="002E171F" w:rsidP="0063405E">
      <w:pPr>
        <w:pStyle w:val="Sinespaciado"/>
        <w:ind w:left="708"/>
        <w:jc w:val="both"/>
        <w:rPr>
          <w:rFonts w:asciiTheme="minorHAnsi" w:hAnsiTheme="minorHAnsi" w:cs="Arial"/>
          <w:sz w:val="22"/>
          <w:szCs w:val="22"/>
        </w:rPr>
      </w:pPr>
      <w:r w:rsidRPr="00F66661">
        <w:rPr>
          <w:rFonts w:asciiTheme="minorHAnsi" w:hAnsiTheme="minorHAnsi" w:cs="Arial"/>
          <w:sz w:val="22"/>
          <w:szCs w:val="22"/>
        </w:rPr>
        <w:t xml:space="preserve">Sobre este punto en particular debe tenerse en cuenta que esta Administración terminó los CAIS de Bosa y Guavio que habían sido contratados por el Fondo de Vigilancia y Seguridad. </w:t>
      </w:r>
      <w:r w:rsidRPr="00F66661">
        <w:rPr>
          <w:rFonts w:asciiTheme="minorHAnsi" w:hAnsiTheme="minorHAnsi" w:cs="Arial"/>
          <w:noProof/>
          <w:sz w:val="22"/>
          <w:szCs w:val="22"/>
          <w:lang w:val="es-CO"/>
        </w:rPr>
        <w:t xml:space="preserve">Estos nuevos CAI cumplen con los estándares previstos por la </w:t>
      </w:r>
      <w:r w:rsidR="00356AC4">
        <w:rPr>
          <w:rFonts w:asciiTheme="minorHAnsi" w:hAnsiTheme="minorHAnsi" w:cs="Arial"/>
          <w:noProof/>
          <w:sz w:val="22"/>
          <w:szCs w:val="22"/>
          <w:lang w:val="es-CO"/>
        </w:rPr>
        <w:t>P</w:t>
      </w:r>
      <w:r w:rsidRPr="00F66661">
        <w:rPr>
          <w:rFonts w:asciiTheme="minorHAnsi" w:hAnsiTheme="minorHAnsi" w:cs="Arial"/>
          <w:noProof/>
          <w:sz w:val="22"/>
          <w:szCs w:val="22"/>
          <w:lang w:val="es-CO"/>
        </w:rPr>
        <w:t>olicía para el desarrollo de la actividad y se han actualizado según la norma, entre otras, como prevenir algún tipo de hostigamiento con vidrios blindados, señalética y cualidades de ergonomía especiales al interior de las instalaciones.</w:t>
      </w:r>
      <w:r w:rsidRPr="00F66661">
        <w:rPr>
          <w:rFonts w:asciiTheme="minorHAnsi" w:hAnsiTheme="minorHAnsi" w:cs="Arial"/>
          <w:sz w:val="22"/>
          <w:szCs w:val="22"/>
        </w:rPr>
        <w:t xml:space="preserve"> </w:t>
      </w:r>
    </w:p>
    <w:p w14:paraId="497CC648" w14:textId="77777777" w:rsidR="002E171F" w:rsidRPr="00E37BAA" w:rsidRDefault="002E171F" w:rsidP="0063405E">
      <w:pPr>
        <w:pStyle w:val="Sinespaciado"/>
        <w:jc w:val="both"/>
        <w:rPr>
          <w:rFonts w:asciiTheme="minorHAnsi" w:hAnsiTheme="minorHAnsi" w:cstheme="minorHAnsi"/>
          <w:sz w:val="22"/>
          <w:szCs w:val="22"/>
        </w:rPr>
      </w:pPr>
    </w:p>
    <w:p w14:paraId="52CF9D4F" w14:textId="26F3A6E5" w:rsidR="002E171F" w:rsidRDefault="002E171F" w:rsidP="0063405E">
      <w:pPr>
        <w:pStyle w:val="Sinespaciado"/>
        <w:jc w:val="both"/>
        <w:rPr>
          <w:rFonts w:asciiTheme="minorHAnsi" w:hAnsiTheme="minorHAnsi" w:cstheme="minorHAnsi"/>
          <w:sz w:val="22"/>
          <w:szCs w:val="22"/>
        </w:rPr>
      </w:pPr>
      <w:r w:rsidRPr="00E37BAA">
        <w:rPr>
          <w:rFonts w:asciiTheme="minorHAnsi" w:hAnsiTheme="minorHAnsi" w:cstheme="minorHAnsi"/>
          <w:sz w:val="22"/>
          <w:szCs w:val="22"/>
        </w:rPr>
        <w:t xml:space="preserve">Teniendo en cuenta que el Plan de Desarrollo culmina su vigencia en el mes de junio de 2020, y a efectos de cumplir con la </w:t>
      </w:r>
      <w:proofErr w:type="spellStart"/>
      <w:r w:rsidRPr="00E37BAA">
        <w:rPr>
          <w:rFonts w:asciiTheme="minorHAnsi" w:hAnsiTheme="minorHAnsi" w:cstheme="minorHAnsi"/>
          <w:sz w:val="22"/>
          <w:szCs w:val="22"/>
        </w:rPr>
        <w:t>meta</w:t>
      </w:r>
      <w:r w:rsidR="00356AC4">
        <w:rPr>
          <w:rFonts w:asciiTheme="minorHAnsi" w:hAnsiTheme="minorHAnsi" w:cstheme="minorHAnsi"/>
          <w:sz w:val="22"/>
          <w:szCs w:val="22"/>
        </w:rPr>
        <w:t>p</w:t>
      </w:r>
      <w:r w:rsidRPr="00E37BAA">
        <w:rPr>
          <w:rFonts w:asciiTheme="minorHAnsi" w:hAnsiTheme="minorHAnsi" w:cstheme="minorHAnsi"/>
          <w:sz w:val="22"/>
          <w:szCs w:val="22"/>
        </w:rPr>
        <w:t>lan</w:t>
      </w:r>
      <w:proofErr w:type="spellEnd"/>
      <w:r w:rsidRPr="00E37BAA">
        <w:rPr>
          <w:rFonts w:asciiTheme="minorHAnsi" w:hAnsiTheme="minorHAnsi" w:cstheme="minorHAnsi"/>
          <w:sz w:val="22"/>
          <w:szCs w:val="22"/>
        </w:rPr>
        <w:t>, se debe proceder en el primer semestre del año a la estructuración y suscripción de los respectivos contratos de obra</w:t>
      </w:r>
      <w:r>
        <w:rPr>
          <w:rFonts w:asciiTheme="minorHAnsi" w:hAnsiTheme="minorHAnsi" w:cstheme="minorHAnsi"/>
          <w:sz w:val="22"/>
          <w:szCs w:val="22"/>
        </w:rPr>
        <w:t xml:space="preserve"> para la construcción de cuatro (4) CAI más</w:t>
      </w:r>
      <w:r w:rsidR="00356AC4">
        <w:rPr>
          <w:rFonts w:asciiTheme="minorHAnsi" w:hAnsiTheme="minorHAnsi" w:cstheme="minorHAnsi"/>
          <w:sz w:val="22"/>
          <w:szCs w:val="22"/>
        </w:rPr>
        <w:t>.</w:t>
      </w:r>
    </w:p>
    <w:p w14:paraId="01D2C1C9" w14:textId="77777777" w:rsidR="002E171F" w:rsidRDefault="002E171F" w:rsidP="0063405E">
      <w:pPr>
        <w:pStyle w:val="Sinespaciado"/>
        <w:jc w:val="both"/>
        <w:rPr>
          <w:rFonts w:asciiTheme="minorHAnsi" w:eastAsia="Arial Narrow" w:hAnsiTheme="minorHAnsi" w:cs="Arial"/>
          <w:sz w:val="22"/>
          <w:szCs w:val="22"/>
        </w:rPr>
      </w:pPr>
    </w:p>
    <w:p w14:paraId="0D60E695" w14:textId="77777777" w:rsidR="002E171F" w:rsidRPr="007514F1" w:rsidRDefault="002E171F" w:rsidP="0063405E">
      <w:pPr>
        <w:pStyle w:val="Prrafodelista"/>
        <w:numPr>
          <w:ilvl w:val="0"/>
          <w:numId w:val="29"/>
        </w:numPr>
        <w:suppressAutoHyphens/>
        <w:spacing w:after="0" w:line="240" w:lineRule="auto"/>
        <w:jc w:val="both"/>
        <w:rPr>
          <w:rFonts w:cstheme="minorHAnsi"/>
          <w:b/>
          <w:i/>
        </w:rPr>
      </w:pPr>
      <w:r w:rsidRPr="00026906">
        <w:rPr>
          <w:rFonts w:cstheme="minorHAnsi"/>
          <w:b/>
          <w:i/>
        </w:rPr>
        <w:t>Proyecto inmobiliario en el Cantón Norte para apoyar las funciones de reclutamiento de la Brigada XIII del Ejército Nacional</w:t>
      </w:r>
      <w:r>
        <w:rPr>
          <w:rFonts w:cstheme="minorHAnsi"/>
          <w:b/>
          <w:i/>
        </w:rPr>
        <w:t xml:space="preserve">: </w:t>
      </w:r>
      <w:r w:rsidRPr="007514F1">
        <w:rPr>
          <w:rFonts w:cstheme="minorHAnsi"/>
          <w:lang w:val="es-MX"/>
        </w:rPr>
        <w:t xml:space="preserve">Con el fin de adelantar la reubicación en condiciones óptimas del Comando de Reclutamiento del Ejército Nacional, para el fortalecimiento de las acciones de prevención, conservación y mantenimiento del orden público de la Brigada XIII </w:t>
      </w:r>
      <w:r w:rsidRPr="007514F1">
        <w:rPr>
          <w:rFonts w:cstheme="minorHAnsi"/>
          <w:lang w:val="es-MX"/>
        </w:rPr>
        <w:lastRenderedPageBreak/>
        <w:t xml:space="preserve">del Ejército Nacional, durante la vigencia 2018 la SDSCJ suscribió el convenio interadministrativo No. 1164 de 2018 con la AGENCIA NACIONAL INMOBILIARIA VIRGILIO BARCO VARGAS por valor de $4.000 millones cuyo objeto es </w:t>
      </w:r>
      <w:r w:rsidRPr="007514F1">
        <w:rPr>
          <w:rFonts w:cstheme="minorHAnsi"/>
          <w:i/>
          <w:lang w:val="es-MX"/>
        </w:rPr>
        <w:t>“Aunar esfuerzos para el desarrollo de un proyecto inmobiliario en el Cantón Norte, para apoyar las funciones de reclutamiento de la Brigada XIII del Ejército Nacional”.</w:t>
      </w:r>
    </w:p>
    <w:p w14:paraId="597A9C33" w14:textId="77777777" w:rsidR="002E171F" w:rsidRDefault="002E171F" w:rsidP="0063405E">
      <w:pPr>
        <w:spacing w:after="0" w:line="240" w:lineRule="auto"/>
        <w:jc w:val="both"/>
        <w:rPr>
          <w:rFonts w:cstheme="minorHAnsi"/>
          <w:i/>
          <w:lang w:val="es-MX"/>
        </w:rPr>
      </w:pPr>
    </w:p>
    <w:p w14:paraId="4FC7389A" w14:textId="77777777" w:rsidR="002E171F" w:rsidRDefault="002E171F" w:rsidP="0063405E">
      <w:pPr>
        <w:spacing w:after="0" w:line="240" w:lineRule="auto"/>
        <w:ind w:firstLine="708"/>
        <w:jc w:val="both"/>
        <w:rPr>
          <w:rFonts w:cstheme="minorHAnsi"/>
          <w:lang w:val="es-MX"/>
        </w:rPr>
      </w:pPr>
      <w:r>
        <w:rPr>
          <w:rFonts w:cstheme="minorHAnsi"/>
          <w:lang w:val="es-MX"/>
        </w:rPr>
        <w:t>En</w:t>
      </w:r>
      <w:r w:rsidRPr="002B5765">
        <w:rPr>
          <w:rFonts w:cstheme="minorHAnsi"/>
          <w:lang w:val="es-MX"/>
        </w:rPr>
        <w:t xml:space="preserve"> el marco de este convenio, se han realizado las siguientes gestiones a la fecha:</w:t>
      </w:r>
    </w:p>
    <w:p w14:paraId="28D35140" w14:textId="77777777" w:rsidR="002E171F" w:rsidRDefault="002E171F" w:rsidP="0063405E">
      <w:pPr>
        <w:pStyle w:val="Prrafodelista"/>
        <w:numPr>
          <w:ilvl w:val="1"/>
          <w:numId w:val="29"/>
        </w:numPr>
        <w:spacing w:after="0" w:line="240" w:lineRule="auto"/>
        <w:jc w:val="both"/>
        <w:rPr>
          <w:rFonts w:cstheme="minorHAnsi"/>
          <w:lang w:val="es-MX"/>
        </w:rPr>
      </w:pPr>
      <w:r w:rsidRPr="007514F1">
        <w:rPr>
          <w:rFonts w:cstheme="minorHAnsi"/>
          <w:lang w:val="es-MX"/>
        </w:rPr>
        <w:t>Se cuenta con la Resolución No 9010 del 31 de diciembre de 2018 expedida por el Ministerio de Defensa Nacional, por medio del cual se transfiere a Título de Aporte Fiduciario, el inmueble donde actualmente se encuentra ubicado el Comando de Reclutamiento y Control de Reservas del Ejercito Nacional.</w:t>
      </w:r>
    </w:p>
    <w:p w14:paraId="4DE0CDE7" w14:textId="77777777" w:rsidR="002E171F" w:rsidRDefault="002E171F" w:rsidP="0063405E">
      <w:pPr>
        <w:pStyle w:val="Prrafodelista"/>
        <w:numPr>
          <w:ilvl w:val="1"/>
          <w:numId w:val="29"/>
        </w:numPr>
        <w:spacing w:after="0" w:line="240" w:lineRule="auto"/>
        <w:jc w:val="both"/>
        <w:rPr>
          <w:rFonts w:cstheme="minorHAnsi"/>
          <w:lang w:val="es-MX"/>
        </w:rPr>
      </w:pPr>
      <w:r w:rsidRPr="007514F1">
        <w:rPr>
          <w:rFonts w:cstheme="minorHAnsi"/>
          <w:lang w:val="es-MX"/>
        </w:rPr>
        <w:t>Contrato de Fiducia Mercantil Irrevocable de Administración y pagos, suscrito entre la Fiduciaria Colpatria S.A. y Patrimonio Autónomo FC Agencia Nacional Inmobiliaria VBV – PAM.</w:t>
      </w:r>
    </w:p>
    <w:p w14:paraId="444805F6" w14:textId="6C56621A" w:rsidR="002E171F" w:rsidRPr="007514F1" w:rsidRDefault="002E171F" w:rsidP="0063405E">
      <w:pPr>
        <w:pStyle w:val="Prrafodelista"/>
        <w:numPr>
          <w:ilvl w:val="1"/>
          <w:numId w:val="29"/>
        </w:numPr>
        <w:spacing w:after="0" w:line="240" w:lineRule="auto"/>
        <w:jc w:val="both"/>
        <w:rPr>
          <w:rFonts w:cstheme="minorHAnsi"/>
          <w:lang w:val="es-MX"/>
        </w:rPr>
      </w:pPr>
      <w:r w:rsidRPr="007514F1">
        <w:rPr>
          <w:rFonts w:cstheme="minorHAnsi"/>
          <w:lang w:val="es-MX"/>
        </w:rPr>
        <w:t>Actualmente</w:t>
      </w:r>
      <w:r w:rsidR="00356AC4">
        <w:rPr>
          <w:rFonts w:cstheme="minorHAnsi"/>
          <w:lang w:val="es-MX"/>
        </w:rPr>
        <w:t>,</w:t>
      </w:r>
      <w:r w:rsidRPr="007514F1">
        <w:rPr>
          <w:rFonts w:cstheme="minorHAnsi"/>
          <w:lang w:val="es-MX"/>
        </w:rPr>
        <w:t xml:space="preserve"> se encuentra en trámite la solicitud realizada por el Ministerio de Defensa a la Oficina de Registros de Instrumentos Públicos, el registro del acto administrativo mediante el cual transfirió a título de aporte el inmueble del Patrimonio Autónomo.</w:t>
      </w:r>
    </w:p>
    <w:p w14:paraId="1A198F8D" w14:textId="77777777" w:rsidR="002E171F" w:rsidRDefault="002E171F" w:rsidP="0063405E">
      <w:pPr>
        <w:suppressAutoHyphens/>
        <w:spacing w:after="0" w:line="240" w:lineRule="auto"/>
        <w:ind w:left="360"/>
        <w:jc w:val="both"/>
        <w:rPr>
          <w:rFonts w:cstheme="minorHAnsi"/>
          <w:lang w:val="es-MX"/>
        </w:rPr>
      </w:pPr>
    </w:p>
    <w:p w14:paraId="61A4DE40" w14:textId="6958739B" w:rsidR="002E171F" w:rsidRPr="007514F1" w:rsidRDefault="002E171F" w:rsidP="0063405E">
      <w:pPr>
        <w:pStyle w:val="Prrafodelista"/>
        <w:numPr>
          <w:ilvl w:val="0"/>
          <w:numId w:val="29"/>
        </w:numPr>
        <w:suppressAutoHyphens/>
        <w:spacing w:after="0" w:line="240" w:lineRule="auto"/>
        <w:ind w:right="-568"/>
        <w:jc w:val="both"/>
        <w:rPr>
          <w:rFonts w:cstheme="minorHAnsi"/>
          <w:b/>
          <w:i/>
        </w:rPr>
      </w:pPr>
      <w:r w:rsidRPr="00EA5B72">
        <w:rPr>
          <w:rFonts w:cstheme="minorHAnsi"/>
          <w:b/>
          <w:i/>
        </w:rPr>
        <w:t>Fase II de la Estación de Policía de Usaquén</w:t>
      </w:r>
      <w:r>
        <w:rPr>
          <w:rFonts w:cstheme="minorHAnsi"/>
          <w:b/>
          <w:i/>
        </w:rPr>
        <w:t xml:space="preserve">: </w:t>
      </w:r>
      <w:r w:rsidRPr="007514F1">
        <w:rPr>
          <w:rFonts w:cstheme="minorHAnsi"/>
        </w:rPr>
        <w:t>En el 2018 finalizaron las acciones pertinentes a la segunda fase del reforzamiento estructural de la Estación de Policía de</w:t>
      </w:r>
      <w:r w:rsidR="00356AC4">
        <w:rPr>
          <w:rFonts w:cstheme="minorHAnsi"/>
        </w:rPr>
        <w:t xml:space="preserve"> la localidad de </w:t>
      </w:r>
      <w:r w:rsidRPr="007514F1">
        <w:rPr>
          <w:rFonts w:cstheme="minorHAnsi"/>
        </w:rPr>
        <w:t>Usaquén, cuya entrega se efectuó en el mes de octubre de 2018.Esta Estación tuvo una inversión de 7.429 millones de pesos, cuenta con oficinas para tareas administrativas, espacios para labores operativas donde se coordinará la vigilancia de la localidad, auditorio para capacitaciones, gimnasio, dormitorios, zonas de parqueo y demás espacios que garantizan condiciones dignas de trabajo a los uniformados.</w:t>
      </w:r>
      <w:r>
        <w:rPr>
          <w:rFonts w:cstheme="minorHAnsi"/>
        </w:rPr>
        <w:t xml:space="preserve"> </w:t>
      </w:r>
      <w:r w:rsidRPr="007514F1">
        <w:rPr>
          <w:rFonts w:cstheme="minorHAnsi"/>
        </w:rPr>
        <w:t xml:space="preserve">Es así, como esta moderna Estación le brindará a la policía un espacio adecuado y digno para el ejercicio de sus labores, y contribuirá en la reducción progresiva de los índices de criminalidad en la capital y el mejoramiento de las relaciones entre los miembros de la institución y las comunidades organizadas. </w:t>
      </w:r>
    </w:p>
    <w:p w14:paraId="0CEF28C7" w14:textId="77777777" w:rsidR="002E171F" w:rsidRPr="00E37BAA" w:rsidRDefault="002E171F" w:rsidP="0063405E">
      <w:pPr>
        <w:pStyle w:val="Prrafodelista"/>
        <w:spacing w:after="0" w:line="240" w:lineRule="auto"/>
        <w:ind w:left="0"/>
        <w:jc w:val="both"/>
        <w:rPr>
          <w:rFonts w:cstheme="minorHAnsi"/>
          <w:sz w:val="16"/>
          <w:szCs w:val="16"/>
        </w:rPr>
      </w:pPr>
    </w:p>
    <w:p w14:paraId="4DFC0082" w14:textId="77777777" w:rsidR="002E171F" w:rsidRDefault="002E171F" w:rsidP="0063405E">
      <w:pPr>
        <w:spacing w:after="0" w:line="240" w:lineRule="auto"/>
        <w:jc w:val="both"/>
        <w:rPr>
          <w:rFonts w:cstheme="minorHAnsi"/>
        </w:rPr>
      </w:pPr>
    </w:p>
    <w:p w14:paraId="7FE042C8" w14:textId="77777777" w:rsidR="0063405E" w:rsidRDefault="0063405E" w:rsidP="0063405E">
      <w:pPr>
        <w:pStyle w:val="Prrafodelista"/>
        <w:spacing w:after="0" w:line="240" w:lineRule="auto"/>
        <w:ind w:left="0"/>
        <w:jc w:val="both"/>
        <w:rPr>
          <w:rFonts w:eastAsia="Arial" w:cstheme="minorHAnsi"/>
          <w:b/>
        </w:rPr>
      </w:pPr>
    </w:p>
    <w:p w14:paraId="57AC4721" w14:textId="71B6762B" w:rsidR="002E171F" w:rsidRPr="00E37BAA" w:rsidRDefault="002E171F" w:rsidP="0063405E">
      <w:pPr>
        <w:pStyle w:val="Prrafodelista"/>
        <w:spacing w:after="0" w:line="240" w:lineRule="auto"/>
        <w:ind w:left="0"/>
        <w:jc w:val="both"/>
        <w:rPr>
          <w:rFonts w:eastAsia="Arial" w:cstheme="minorHAnsi"/>
          <w:b/>
        </w:rPr>
      </w:pPr>
      <w:r w:rsidRPr="00E37BAA">
        <w:rPr>
          <w:rFonts w:eastAsia="Arial" w:cstheme="minorHAnsi"/>
          <w:b/>
        </w:rPr>
        <w:t>Causas de la persistencia</w:t>
      </w:r>
      <w:r w:rsidR="00A5219D">
        <w:rPr>
          <w:rFonts w:eastAsia="Arial" w:cstheme="minorHAnsi"/>
          <w:b/>
        </w:rPr>
        <w:t xml:space="preserve"> del problema</w:t>
      </w:r>
    </w:p>
    <w:p w14:paraId="073196E8" w14:textId="77777777" w:rsidR="002E171F" w:rsidRPr="00E37BAA" w:rsidRDefault="002E171F" w:rsidP="0063405E">
      <w:pPr>
        <w:pStyle w:val="Prrafodelista"/>
        <w:spacing w:after="0" w:line="240" w:lineRule="auto"/>
        <w:ind w:left="0"/>
        <w:jc w:val="both"/>
        <w:rPr>
          <w:rFonts w:eastAsia="Arial" w:cstheme="minorHAnsi"/>
          <w:b/>
        </w:rPr>
      </w:pPr>
    </w:p>
    <w:p w14:paraId="1476F490" w14:textId="77777777" w:rsidR="002E171F" w:rsidRPr="00E21C3C" w:rsidRDefault="002E171F" w:rsidP="0063405E">
      <w:pPr>
        <w:pStyle w:val="Prrafodelista"/>
        <w:numPr>
          <w:ilvl w:val="0"/>
          <w:numId w:val="32"/>
        </w:numPr>
        <w:spacing w:after="0" w:line="240" w:lineRule="auto"/>
        <w:jc w:val="both"/>
        <w:rPr>
          <w:rFonts w:cstheme="minorHAnsi"/>
          <w:u w:val="single"/>
        </w:rPr>
      </w:pPr>
      <w:bookmarkStart w:id="5" w:name="_Hlk22322227"/>
      <w:r w:rsidRPr="00050779">
        <w:rPr>
          <w:rFonts w:cstheme="minorHAnsi"/>
          <w:u w:val="single"/>
        </w:rPr>
        <w:t xml:space="preserve">Mejoramiento y ampliación de la infraestructura tecnológica: </w:t>
      </w:r>
      <w:r w:rsidRPr="00E21C3C">
        <w:rPr>
          <w:rFonts w:eastAsia="Arial" w:cstheme="minorHAnsi"/>
        </w:rPr>
        <w:t>Ya se veía como el esfuerzo realizado en la actualización y modernización tecnológica de los elementos puestos a disposición de los organismos de seguridad de la ciudad y en la provisión adecuada de bienes y servicios para éstos no puede darse por concluido. Las razones que sustentan dicha afirmación son las siguientes:</w:t>
      </w:r>
    </w:p>
    <w:p w14:paraId="3290E738" w14:textId="77777777" w:rsidR="002E171F" w:rsidRPr="00E37BAA" w:rsidRDefault="002E171F" w:rsidP="0063405E">
      <w:pPr>
        <w:pStyle w:val="Prrafodelista"/>
        <w:spacing w:after="0" w:line="240" w:lineRule="auto"/>
        <w:ind w:left="0"/>
        <w:jc w:val="both"/>
        <w:rPr>
          <w:rFonts w:eastAsia="Arial" w:cstheme="minorHAnsi"/>
        </w:rPr>
      </w:pPr>
    </w:p>
    <w:p w14:paraId="7C031DF1" w14:textId="77777777" w:rsidR="002E171F" w:rsidRPr="00E37BAA" w:rsidRDefault="002E171F" w:rsidP="0063405E">
      <w:pPr>
        <w:pStyle w:val="Prrafodelista"/>
        <w:spacing w:after="0" w:line="240" w:lineRule="auto"/>
        <w:ind w:left="708"/>
        <w:jc w:val="both"/>
        <w:rPr>
          <w:rFonts w:eastAsia="Arial" w:cstheme="minorHAnsi"/>
        </w:rPr>
      </w:pPr>
      <w:r w:rsidRPr="00E37BAA">
        <w:rPr>
          <w:rFonts w:eastAsia="Arial" w:cstheme="minorHAnsi"/>
        </w:rPr>
        <w:t>Las necesidades de la ciudad en materia de seguridad ciudadana, de atención y solución de comportamientos contrarios a la convivencia ciudadana y de acceso a la justicia son dinámicas complejas, lo cual implica que los requerimientos para mantener en las mejores condiciones posibles a las entidades encargadas de la provisión de los servicios de seguridad y justicia dentro de la ciudad sean constantes y en algunos casos específicos crecientes.</w:t>
      </w:r>
    </w:p>
    <w:p w14:paraId="1EA09526" w14:textId="77777777" w:rsidR="002E171F" w:rsidRPr="00E37BAA" w:rsidRDefault="002E171F" w:rsidP="0063405E">
      <w:pPr>
        <w:pStyle w:val="Prrafodelista"/>
        <w:spacing w:after="0" w:line="240" w:lineRule="auto"/>
        <w:ind w:left="0"/>
        <w:jc w:val="both"/>
        <w:rPr>
          <w:rFonts w:eastAsia="Arial" w:cstheme="minorHAnsi"/>
        </w:rPr>
      </w:pPr>
      <w:r w:rsidRPr="00E37BAA">
        <w:rPr>
          <w:rFonts w:eastAsia="Arial" w:cstheme="minorHAnsi"/>
        </w:rPr>
        <w:t xml:space="preserve"> </w:t>
      </w:r>
    </w:p>
    <w:p w14:paraId="11868A2E" w14:textId="5932577A" w:rsidR="002E171F" w:rsidRPr="00E37BAA" w:rsidRDefault="002E171F" w:rsidP="0063405E">
      <w:pPr>
        <w:pStyle w:val="Prrafodelista"/>
        <w:spacing w:after="0" w:line="240" w:lineRule="auto"/>
        <w:ind w:left="708"/>
        <w:jc w:val="both"/>
        <w:rPr>
          <w:rFonts w:eastAsia="Arial" w:cstheme="minorHAnsi"/>
        </w:rPr>
      </w:pPr>
      <w:r w:rsidRPr="00E37BAA">
        <w:rPr>
          <w:rFonts w:eastAsia="Arial" w:cstheme="minorHAnsi"/>
        </w:rPr>
        <w:t xml:space="preserve">Lo anterior se ve reflejado por ejemplo en algunos de los aspectos relacionados con la necesidad de garantizar la estabilidad y continuidad del </w:t>
      </w:r>
      <w:r w:rsidR="005A6855">
        <w:rPr>
          <w:rFonts w:eastAsia="Arial" w:cstheme="minorHAnsi"/>
        </w:rPr>
        <w:t>S</w:t>
      </w:r>
      <w:r w:rsidRPr="00E37BAA">
        <w:rPr>
          <w:rFonts w:eastAsia="Arial" w:cstheme="minorHAnsi"/>
        </w:rPr>
        <w:t xml:space="preserve">istema de </w:t>
      </w:r>
      <w:r w:rsidR="005A6855">
        <w:rPr>
          <w:rFonts w:eastAsia="Arial" w:cstheme="minorHAnsi"/>
        </w:rPr>
        <w:t>V</w:t>
      </w:r>
      <w:r w:rsidRPr="00E37BAA">
        <w:rPr>
          <w:rFonts w:eastAsia="Arial" w:cstheme="minorHAnsi"/>
        </w:rPr>
        <w:t xml:space="preserve">ideovigilancia </w:t>
      </w:r>
      <w:r w:rsidRPr="00E37BAA">
        <w:rPr>
          <w:rFonts w:eastAsia="Arial" w:cstheme="minorHAnsi"/>
        </w:rPr>
        <w:lastRenderedPageBreak/>
        <w:t xml:space="preserve">ciudadana. Dicho esfuerzo debe convertirse en una de las acciones de la política pública de seguridad de la ciudad, y tener como uno de los ejes fundamentales de sus objetivos la conectividad del </w:t>
      </w:r>
      <w:r w:rsidR="005A6855">
        <w:rPr>
          <w:rFonts w:eastAsia="Arial" w:cstheme="minorHAnsi"/>
        </w:rPr>
        <w:t>S</w:t>
      </w:r>
      <w:r w:rsidRPr="00E37BAA">
        <w:rPr>
          <w:rFonts w:eastAsia="Arial" w:cstheme="minorHAnsi"/>
        </w:rPr>
        <w:t>istema mediante la provisión de un adecuado esquema de negociación que permita la reducción de los costos incorporados en este rubro y que no implique necesariamente la existencia de un solo proveedor ni de condiciones predeterminadas en la negociación con éste. En la actualida</w:t>
      </w:r>
      <w:r w:rsidR="005A6855">
        <w:rPr>
          <w:rFonts w:eastAsia="Arial" w:cstheme="minorHAnsi"/>
        </w:rPr>
        <w:t>d,</w:t>
      </w:r>
      <w:r w:rsidRPr="00E37BAA">
        <w:rPr>
          <w:rFonts w:eastAsia="Arial" w:cstheme="minorHAnsi"/>
        </w:rPr>
        <w:t xml:space="preserve"> este servicio es prestado por la Empresa de Teléfonos de Bogotá –ETB-. </w:t>
      </w:r>
    </w:p>
    <w:p w14:paraId="716FC31A" w14:textId="77777777" w:rsidR="002E171F" w:rsidRPr="00E37BAA" w:rsidRDefault="002E171F" w:rsidP="0063405E">
      <w:pPr>
        <w:pStyle w:val="Prrafodelista"/>
        <w:spacing w:after="0" w:line="240" w:lineRule="auto"/>
        <w:ind w:left="0"/>
        <w:jc w:val="both"/>
        <w:rPr>
          <w:rFonts w:eastAsia="Arial" w:cstheme="minorHAnsi"/>
        </w:rPr>
      </w:pPr>
    </w:p>
    <w:p w14:paraId="679CA5B8" w14:textId="7B0C8862" w:rsidR="002E171F" w:rsidRPr="00E37BAA" w:rsidRDefault="002E171F" w:rsidP="0063405E">
      <w:pPr>
        <w:pStyle w:val="Prrafodelista"/>
        <w:spacing w:after="0" w:line="240" w:lineRule="auto"/>
        <w:ind w:left="708"/>
        <w:jc w:val="both"/>
        <w:rPr>
          <w:rFonts w:eastAsia="Arial" w:cstheme="minorHAnsi"/>
        </w:rPr>
      </w:pPr>
      <w:r w:rsidRPr="00E37BAA">
        <w:rPr>
          <w:rFonts w:eastAsia="Arial" w:cstheme="minorHAnsi"/>
        </w:rPr>
        <w:t xml:space="preserve">Así mismo, la energización del </w:t>
      </w:r>
      <w:r w:rsidR="005A6855">
        <w:rPr>
          <w:rFonts w:eastAsia="Arial" w:cstheme="minorHAnsi"/>
        </w:rPr>
        <w:t>S</w:t>
      </w:r>
      <w:r w:rsidRPr="00E37BAA">
        <w:rPr>
          <w:rFonts w:eastAsia="Arial" w:cstheme="minorHAnsi"/>
        </w:rPr>
        <w:t xml:space="preserve">istema mediante la utilización de fuentes renovables de energía logrará el propósito de tener un </w:t>
      </w:r>
      <w:r w:rsidR="005A6855">
        <w:rPr>
          <w:rFonts w:eastAsia="Arial" w:cstheme="minorHAnsi"/>
        </w:rPr>
        <w:t>S</w:t>
      </w:r>
      <w:r w:rsidRPr="00E37BAA">
        <w:rPr>
          <w:rFonts w:eastAsia="Arial" w:cstheme="minorHAnsi"/>
        </w:rPr>
        <w:t xml:space="preserve">istema sostenible desde el punto de vista ambiental y económica y operativamente más eficiente. </w:t>
      </w:r>
    </w:p>
    <w:p w14:paraId="7F8E659F" w14:textId="77777777" w:rsidR="002E171F" w:rsidRPr="00E37BAA" w:rsidRDefault="002E171F" w:rsidP="0063405E">
      <w:pPr>
        <w:pStyle w:val="Prrafodelista"/>
        <w:spacing w:after="0" w:line="240" w:lineRule="auto"/>
        <w:ind w:left="0"/>
        <w:jc w:val="both"/>
        <w:rPr>
          <w:rFonts w:eastAsia="Arial" w:cstheme="minorHAnsi"/>
        </w:rPr>
      </w:pPr>
    </w:p>
    <w:p w14:paraId="14DD868A" w14:textId="056D82A7" w:rsidR="002E171F" w:rsidRPr="00E37BAA" w:rsidRDefault="002E171F" w:rsidP="0063405E">
      <w:pPr>
        <w:pStyle w:val="Prrafodelista"/>
        <w:spacing w:after="0" w:line="240" w:lineRule="auto"/>
        <w:ind w:left="708"/>
        <w:jc w:val="both"/>
        <w:rPr>
          <w:rFonts w:eastAsia="Arial" w:cstheme="minorHAnsi"/>
        </w:rPr>
      </w:pPr>
      <w:r w:rsidRPr="00E37BAA">
        <w:rPr>
          <w:rFonts w:eastAsia="Arial" w:cstheme="minorHAnsi"/>
        </w:rPr>
        <w:t xml:space="preserve">El aumento de la disponibilidad del sistema por encima del noventa y nueve por ciento (99.9 %) con el propósito de garantizar su confiablidad y seguridad, debe encontrarse en el centro de las actividades en esta materia sin dejar de lado que, en cuanto a cobertura del sistema se refiere, se hace imprescindible profundizar su integración con las cámaras de video administradas por la Secretaría Distrital de Movilidad y Transmilenio </w:t>
      </w:r>
      <w:r w:rsidR="005A6855">
        <w:rPr>
          <w:rFonts w:eastAsia="Arial" w:cstheme="minorHAnsi"/>
        </w:rPr>
        <w:t xml:space="preserve">S.A. </w:t>
      </w:r>
      <w:r w:rsidRPr="00E37BAA">
        <w:rPr>
          <w:rFonts w:eastAsia="Arial" w:cstheme="minorHAnsi"/>
        </w:rPr>
        <w:t xml:space="preserve">y en un futuro con las instaladas en el sistema de transporte masivo y en general con todas aquellas que continúan siendo operadas por distintas entidades distritales y que hoy no se encuentran bajo el marco del sistema de videovigilancia ciudadana de la ciudad. </w:t>
      </w:r>
    </w:p>
    <w:p w14:paraId="117F26B1" w14:textId="77777777" w:rsidR="002E171F" w:rsidRPr="00E37BAA" w:rsidRDefault="002E171F" w:rsidP="0063405E">
      <w:pPr>
        <w:pStyle w:val="Prrafodelista"/>
        <w:spacing w:after="0" w:line="240" w:lineRule="auto"/>
        <w:ind w:left="0"/>
        <w:jc w:val="both"/>
        <w:rPr>
          <w:rFonts w:eastAsia="Arial" w:cstheme="minorHAnsi"/>
        </w:rPr>
      </w:pPr>
    </w:p>
    <w:p w14:paraId="55FBFD83" w14:textId="75A3241A" w:rsidR="002E171F" w:rsidRPr="00E37BAA" w:rsidRDefault="002E171F" w:rsidP="0063405E">
      <w:pPr>
        <w:pStyle w:val="Prrafodelista"/>
        <w:spacing w:after="0" w:line="240" w:lineRule="auto"/>
        <w:ind w:left="708"/>
        <w:jc w:val="both"/>
        <w:rPr>
          <w:rFonts w:eastAsia="Arial" w:cstheme="minorHAnsi"/>
        </w:rPr>
      </w:pPr>
      <w:r w:rsidRPr="00E37BAA">
        <w:rPr>
          <w:rFonts w:eastAsia="Arial" w:cstheme="minorHAnsi"/>
        </w:rPr>
        <w:t xml:space="preserve">No se puede perder de vista que los gastos recurrentes atados al mantenimiento, conectividad, energización y redundancia del sistema de videovigilancia no pueden suspendidos o descontinuados porque ello atentaría directamente con el funcionamiento adecuado de </w:t>
      </w:r>
      <w:r w:rsidR="005A6855">
        <w:rPr>
          <w:rFonts w:eastAsia="Arial" w:cstheme="minorHAnsi"/>
        </w:rPr>
        <w:t>é</w:t>
      </w:r>
      <w:r w:rsidRPr="00E37BAA">
        <w:rPr>
          <w:rFonts w:eastAsia="Arial" w:cstheme="minorHAnsi"/>
        </w:rPr>
        <w:t xml:space="preserve">ste. </w:t>
      </w:r>
    </w:p>
    <w:p w14:paraId="3F3960AF" w14:textId="77777777" w:rsidR="002E171F" w:rsidRPr="00E37BAA" w:rsidRDefault="002E171F" w:rsidP="0063405E">
      <w:pPr>
        <w:pStyle w:val="Prrafodelista"/>
        <w:spacing w:after="0" w:line="240" w:lineRule="auto"/>
        <w:ind w:left="0"/>
        <w:jc w:val="both"/>
        <w:rPr>
          <w:rFonts w:eastAsia="Arial" w:cstheme="minorHAnsi"/>
        </w:rPr>
      </w:pPr>
    </w:p>
    <w:p w14:paraId="173EE81A" w14:textId="46202719" w:rsidR="002E171F" w:rsidRDefault="002E171F" w:rsidP="0063405E">
      <w:pPr>
        <w:pStyle w:val="Prrafodelista"/>
        <w:spacing w:after="0" w:line="240" w:lineRule="auto"/>
        <w:ind w:left="708"/>
        <w:jc w:val="both"/>
        <w:rPr>
          <w:rFonts w:eastAsia="Arial" w:cstheme="minorHAnsi"/>
        </w:rPr>
      </w:pPr>
      <w:r w:rsidRPr="00E37BAA">
        <w:rPr>
          <w:rFonts w:eastAsia="Arial" w:cstheme="minorHAnsi"/>
        </w:rPr>
        <w:t>En el mismo sentido</w:t>
      </w:r>
      <w:r w:rsidR="005A6855">
        <w:rPr>
          <w:rFonts w:eastAsia="Arial" w:cstheme="minorHAnsi"/>
        </w:rPr>
        <w:t>,</w:t>
      </w:r>
      <w:r w:rsidRPr="00E37BAA">
        <w:rPr>
          <w:rFonts w:eastAsia="Arial" w:cstheme="minorHAnsi"/>
        </w:rPr>
        <w:t xml:space="preserve"> debe señalarse que la actualización y modernización tecnológica de las agencias de seguridad y de todas las instituciones, incluida la SDSCJ, que participan de la atención  y solución de los comportamientos que atentan  contra la convivencia ciudadana y de la prestación de servicios de justicia no  es un objetivo que se agote en  un periodo de tiempo determinado</w:t>
      </w:r>
      <w:r w:rsidR="005A6855">
        <w:rPr>
          <w:rFonts w:eastAsia="Arial" w:cstheme="minorHAnsi"/>
        </w:rPr>
        <w:t xml:space="preserve">, </w:t>
      </w:r>
      <w:r w:rsidRPr="00E37BAA">
        <w:rPr>
          <w:rFonts w:eastAsia="Arial" w:cstheme="minorHAnsi"/>
        </w:rPr>
        <w:t xml:space="preserve">sino que por el contrario persiste y trasciende con independencia del inicio o terminación del mandato de las autoridades locales.   </w:t>
      </w:r>
    </w:p>
    <w:p w14:paraId="635AEEB5" w14:textId="77777777" w:rsidR="002E171F" w:rsidRDefault="002E171F" w:rsidP="0063405E">
      <w:pPr>
        <w:pStyle w:val="Prrafodelista"/>
        <w:spacing w:after="0" w:line="240" w:lineRule="auto"/>
        <w:ind w:left="708"/>
        <w:jc w:val="both"/>
        <w:rPr>
          <w:rFonts w:eastAsia="Arial" w:cstheme="minorHAnsi"/>
        </w:rPr>
      </w:pPr>
    </w:p>
    <w:p w14:paraId="1809A585" w14:textId="620C110A" w:rsidR="002E171F" w:rsidRPr="005A6855" w:rsidRDefault="002E171F" w:rsidP="0063405E">
      <w:pPr>
        <w:pStyle w:val="Prrafodelista"/>
        <w:numPr>
          <w:ilvl w:val="0"/>
          <w:numId w:val="32"/>
        </w:numPr>
        <w:spacing w:after="0" w:line="240" w:lineRule="auto"/>
        <w:jc w:val="both"/>
        <w:rPr>
          <w:rFonts w:cstheme="minorHAnsi"/>
        </w:rPr>
      </w:pPr>
      <w:bookmarkStart w:id="6" w:name="_Hlk22323685"/>
      <w:r w:rsidRPr="00E21C3C">
        <w:rPr>
          <w:rFonts w:cstheme="minorHAnsi"/>
          <w:u w:val="single"/>
        </w:rPr>
        <w:t>Mejoramiento de infraestructura para la seguridad y justicia</w:t>
      </w:r>
      <w:r>
        <w:rPr>
          <w:rFonts w:cstheme="minorHAnsi"/>
          <w:u w:val="single"/>
        </w:rPr>
        <w:t xml:space="preserve">: </w:t>
      </w:r>
      <w:bookmarkEnd w:id="6"/>
      <w:r w:rsidRPr="007514F1">
        <w:rPr>
          <w:rFonts w:cstheme="minorHAnsi"/>
        </w:rPr>
        <w:t>Hoy por hoy, se carece de una infraestructura propia y adecuada destinada a la prestación de servicios de justicia por parte de la SDSCJ toda vez que la mayoría de los inmuebles con los que se cuenta actualmente para esta actividad son arrendados o en su defecto presentan insuficiencias considerables con respecto a las necesidades actuales</w:t>
      </w:r>
      <w:r w:rsidR="005A6855">
        <w:rPr>
          <w:rFonts w:cstheme="minorHAnsi"/>
        </w:rPr>
        <w:t>.</w:t>
      </w:r>
      <w:r w:rsidRPr="007514F1">
        <w:rPr>
          <w:rFonts w:cstheme="minorHAnsi"/>
        </w:rPr>
        <w:t xml:space="preserve">  Es preciso entonces propender porque las normas urbanísticas y de uso del suelo garanticen la consecución de los terrenos necesarios para la construcción de este tipo de </w:t>
      </w:r>
      <w:proofErr w:type="spellStart"/>
      <w:r w:rsidRPr="007514F1">
        <w:rPr>
          <w:rFonts w:cstheme="minorHAnsi"/>
        </w:rPr>
        <w:t>Equipamentos</w:t>
      </w:r>
      <w:proofErr w:type="spellEnd"/>
      <w:r w:rsidRPr="007514F1">
        <w:rPr>
          <w:rFonts w:cstheme="minorHAnsi"/>
        </w:rPr>
        <w:t>, así como la adecuación de los inmuebles con los que se cuenta actualmente a los requerimientos de la demanda por este tipo de servicios.</w:t>
      </w:r>
      <w:bookmarkEnd w:id="5"/>
    </w:p>
    <w:p w14:paraId="1B6A267D" w14:textId="77777777" w:rsidR="000726BB" w:rsidRDefault="000726BB" w:rsidP="0063405E">
      <w:pPr>
        <w:pStyle w:val="Prrafodelista"/>
        <w:spacing w:after="0" w:line="240" w:lineRule="auto"/>
        <w:ind w:left="0"/>
        <w:jc w:val="both"/>
        <w:rPr>
          <w:rFonts w:eastAsia="Arial" w:cstheme="minorHAnsi"/>
        </w:rPr>
      </w:pPr>
    </w:p>
    <w:p w14:paraId="451FAF44" w14:textId="763112F0" w:rsidR="002E171F" w:rsidRPr="00E37BAA" w:rsidRDefault="002E171F" w:rsidP="0063405E">
      <w:pPr>
        <w:pStyle w:val="Prrafodelista"/>
        <w:spacing w:after="0" w:line="240" w:lineRule="auto"/>
        <w:ind w:left="0"/>
        <w:jc w:val="both"/>
        <w:rPr>
          <w:rFonts w:eastAsia="Arial" w:cstheme="minorHAnsi"/>
          <w:b/>
        </w:rPr>
      </w:pPr>
      <w:r w:rsidRPr="00E37BAA">
        <w:rPr>
          <w:rFonts w:eastAsia="Arial" w:cstheme="minorHAnsi"/>
          <w:b/>
        </w:rPr>
        <w:t>Consecuencias de la persistencia</w:t>
      </w:r>
      <w:r w:rsidR="00A5219D">
        <w:rPr>
          <w:rFonts w:eastAsia="Arial" w:cstheme="minorHAnsi"/>
          <w:b/>
        </w:rPr>
        <w:t xml:space="preserve"> del problema</w:t>
      </w:r>
    </w:p>
    <w:p w14:paraId="6B939646" w14:textId="77777777" w:rsidR="002E171F" w:rsidRPr="00E37BAA" w:rsidRDefault="002E171F" w:rsidP="0063405E">
      <w:pPr>
        <w:pStyle w:val="Prrafodelista"/>
        <w:spacing w:after="0" w:line="240" w:lineRule="auto"/>
        <w:ind w:left="0"/>
        <w:jc w:val="both"/>
        <w:rPr>
          <w:rFonts w:eastAsia="Arial" w:cstheme="minorHAnsi"/>
          <w:b/>
        </w:rPr>
      </w:pPr>
    </w:p>
    <w:p w14:paraId="17F8DBB7" w14:textId="77777777" w:rsidR="002E171F" w:rsidRPr="00E37BAA" w:rsidRDefault="002E171F" w:rsidP="0063405E">
      <w:pPr>
        <w:pStyle w:val="Prrafodelista"/>
        <w:numPr>
          <w:ilvl w:val="0"/>
          <w:numId w:val="33"/>
        </w:numPr>
        <w:spacing w:after="0" w:line="240" w:lineRule="auto"/>
        <w:jc w:val="both"/>
        <w:rPr>
          <w:rFonts w:eastAsia="Arial" w:cstheme="minorHAnsi"/>
        </w:rPr>
      </w:pPr>
      <w:r w:rsidRPr="00050779">
        <w:rPr>
          <w:rFonts w:cstheme="minorHAnsi"/>
          <w:u w:val="single"/>
        </w:rPr>
        <w:t xml:space="preserve">Mejoramiento y ampliación de la infraestructura tecnológica: </w:t>
      </w:r>
      <w:r w:rsidRPr="00E37BAA">
        <w:rPr>
          <w:rFonts w:eastAsia="Arial" w:cstheme="minorHAnsi"/>
        </w:rPr>
        <w:t>Desde la introducción de este informe se dejó clar</w:t>
      </w:r>
      <w:r>
        <w:rPr>
          <w:rFonts w:eastAsia="Arial" w:cstheme="minorHAnsi"/>
        </w:rPr>
        <w:t>o el orden lógico en el que la problemática central</w:t>
      </w:r>
      <w:r w:rsidRPr="00E37BAA">
        <w:rPr>
          <w:rFonts w:eastAsia="Arial" w:cstheme="minorHAnsi"/>
        </w:rPr>
        <w:t xml:space="preserve"> se refiere fundamentalmente a los delitos </w:t>
      </w:r>
      <w:r>
        <w:rPr>
          <w:rFonts w:eastAsia="Arial" w:cstheme="minorHAnsi"/>
        </w:rPr>
        <w:t xml:space="preserve">ya sus factores asociados, y las problemáticas siguientes, </w:t>
      </w:r>
      <w:r>
        <w:rPr>
          <w:rFonts w:eastAsia="Arial" w:cstheme="minorHAnsi"/>
        </w:rPr>
        <w:lastRenderedPageBreak/>
        <w:t>en este caso la correspondiente al seguimiento a la ejecución de las inversiones, están en función de la problemática central al ser</w:t>
      </w:r>
      <w:r w:rsidRPr="00E37BAA">
        <w:rPr>
          <w:rFonts w:eastAsia="Arial" w:cstheme="minorHAnsi"/>
        </w:rPr>
        <w:t xml:space="preserve"> medios, instrumentos o herramientas de las cuales se vale la SDSCJ para atender de manera adecuada los delitos y las conductas lesivas de la convivencia en la ciudad. </w:t>
      </w:r>
    </w:p>
    <w:p w14:paraId="4111BEB1" w14:textId="77777777" w:rsidR="002E171F" w:rsidRPr="00E37BAA" w:rsidRDefault="002E171F" w:rsidP="0063405E">
      <w:pPr>
        <w:pStyle w:val="Prrafodelista"/>
        <w:spacing w:after="0" w:line="240" w:lineRule="auto"/>
        <w:ind w:left="0"/>
        <w:jc w:val="both"/>
        <w:rPr>
          <w:rFonts w:eastAsia="Arial" w:cstheme="minorHAnsi"/>
        </w:rPr>
      </w:pPr>
    </w:p>
    <w:p w14:paraId="60CD6384" w14:textId="7D9705CD" w:rsidR="002E171F" w:rsidRPr="00E37BAA" w:rsidRDefault="002E171F" w:rsidP="0063405E">
      <w:pPr>
        <w:pStyle w:val="Prrafodelista"/>
        <w:spacing w:after="0" w:line="240" w:lineRule="auto"/>
        <w:ind w:left="708"/>
        <w:jc w:val="both"/>
        <w:rPr>
          <w:rFonts w:eastAsia="Arial" w:cstheme="minorHAnsi"/>
        </w:rPr>
      </w:pPr>
      <w:r w:rsidRPr="00E37BAA">
        <w:rPr>
          <w:rFonts w:eastAsia="Arial" w:cstheme="minorHAnsi"/>
        </w:rPr>
        <w:t>En este contexto, las inversiones realizadas por la SDSCJ</w:t>
      </w:r>
      <w:r w:rsidR="005A6855">
        <w:rPr>
          <w:rFonts w:eastAsia="Arial" w:cstheme="minorHAnsi"/>
        </w:rPr>
        <w:t>,</w:t>
      </w:r>
      <w:r w:rsidRPr="00E37BAA">
        <w:rPr>
          <w:rFonts w:eastAsia="Arial" w:cstheme="minorHAnsi"/>
        </w:rPr>
        <w:t xml:space="preserve"> en contratación de bienes y servicios</w:t>
      </w:r>
      <w:r w:rsidR="005A6855">
        <w:rPr>
          <w:rFonts w:eastAsia="Arial" w:cstheme="minorHAnsi"/>
        </w:rPr>
        <w:t xml:space="preserve">, </w:t>
      </w:r>
      <w:r w:rsidRPr="00E37BAA">
        <w:rPr>
          <w:rFonts w:eastAsia="Arial" w:cstheme="minorHAnsi"/>
        </w:rPr>
        <w:t xml:space="preserve">tienen como propósito fundamental servir de apoyo y soporte a su propia gestión y a la de las agencias e instituciones a cargo del control del delito, de las contravenciones a la convivencia y de la justicia en nuestra ciudad. La inadecuada atención a la problemática de medios probablemente se verá reflejada de forma negativa en los indicadores de seguridad; así, por ejemplo, ante cualquier caída del servicio del sistema de videovigilancia ciudadana a causa de una falla en su conectividad, energización o mantenimiento, las agencias y entidades vinculadas a este no podrán afrontar de manera eficaz y eficiente el impacto que supone la comisión de un delito o la ocurrencia de cualquier desastre o emergencia. </w:t>
      </w:r>
    </w:p>
    <w:p w14:paraId="426FA947" w14:textId="77777777" w:rsidR="002E171F" w:rsidRPr="00E37BAA" w:rsidRDefault="002E171F" w:rsidP="0063405E">
      <w:pPr>
        <w:pStyle w:val="Prrafodelista"/>
        <w:spacing w:after="0" w:line="240" w:lineRule="auto"/>
        <w:ind w:left="0"/>
        <w:jc w:val="both"/>
        <w:rPr>
          <w:rFonts w:eastAsia="Arial" w:cstheme="minorHAnsi"/>
        </w:rPr>
      </w:pPr>
    </w:p>
    <w:p w14:paraId="50BDD8F7" w14:textId="77777777" w:rsidR="002E171F" w:rsidRPr="00E37BAA" w:rsidRDefault="002E171F" w:rsidP="0063405E">
      <w:pPr>
        <w:pStyle w:val="Prrafodelista"/>
        <w:spacing w:after="0" w:line="240" w:lineRule="auto"/>
        <w:ind w:left="708"/>
        <w:jc w:val="both"/>
        <w:rPr>
          <w:rFonts w:eastAsia="Arial" w:cstheme="minorHAnsi"/>
        </w:rPr>
      </w:pPr>
      <w:r w:rsidRPr="00E37BAA">
        <w:rPr>
          <w:rFonts w:eastAsia="Arial" w:cstheme="minorHAnsi"/>
        </w:rPr>
        <w:t>No puede haber seguridad, ni convivencia ni justicia ni atención a desastres y emergencias sino se cuenta con los elementos necesarios para su adecuada provisión.</w:t>
      </w:r>
    </w:p>
    <w:p w14:paraId="1E396335" w14:textId="77777777" w:rsidR="002E171F" w:rsidRPr="00E37BAA" w:rsidRDefault="002E171F" w:rsidP="0063405E">
      <w:pPr>
        <w:pStyle w:val="Prrafodelista"/>
        <w:spacing w:after="0" w:line="240" w:lineRule="auto"/>
        <w:ind w:left="0"/>
        <w:jc w:val="both"/>
        <w:rPr>
          <w:rFonts w:eastAsia="Arial" w:cstheme="minorHAnsi"/>
          <w:b/>
        </w:rPr>
      </w:pPr>
    </w:p>
    <w:p w14:paraId="1A9FBC2D" w14:textId="77777777" w:rsidR="002E171F" w:rsidRDefault="002E171F" w:rsidP="0063405E">
      <w:pPr>
        <w:pStyle w:val="Sinespaciado"/>
        <w:jc w:val="both"/>
        <w:rPr>
          <w:rFonts w:asciiTheme="minorHAnsi" w:eastAsia="Arial Narrow" w:hAnsiTheme="minorHAnsi" w:cs="Arial"/>
          <w:sz w:val="22"/>
          <w:szCs w:val="22"/>
        </w:rPr>
      </w:pPr>
    </w:p>
    <w:p w14:paraId="7D02CE9B" w14:textId="4B9F8EFA" w:rsidR="002E171F" w:rsidRPr="007514F1" w:rsidRDefault="002E171F" w:rsidP="0063405E">
      <w:pPr>
        <w:pStyle w:val="Sinespaciado"/>
        <w:numPr>
          <w:ilvl w:val="0"/>
          <w:numId w:val="33"/>
        </w:numPr>
        <w:jc w:val="both"/>
        <w:rPr>
          <w:rFonts w:asciiTheme="minorHAnsi" w:hAnsiTheme="minorHAnsi" w:cs="Arial"/>
          <w:sz w:val="22"/>
          <w:szCs w:val="22"/>
          <w:lang w:val="es-CO"/>
        </w:rPr>
      </w:pPr>
      <w:r w:rsidRPr="007514F1">
        <w:rPr>
          <w:rFonts w:asciiTheme="minorHAnsi" w:hAnsiTheme="minorHAnsi" w:cs="Arial"/>
          <w:sz w:val="22"/>
          <w:szCs w:val="22"/>
          <w:u w:val="single"/>
          <w:lang w:val="es-CO"/>
        </w:rPr>
        <w:t xml:space="preserve">Mejoramiento de infraestructura para la seguridad y justicia: </w:t>
      </w:r>
      <w:r w:rsidRPr="007514F1">
        <w:rPr>
          <w:rFonts w:asciiTheme="minorHAnsi" w:hAnsiTheme="minorHAnsi" w:cs="Arial"/>
          <w:sz w:val="22"/>
          <w:szCs w:val="22"/>
          <w:lang w:val="es-CO"/>
        </w:rPr>
        <w:t xml:space="preserve">El propósito de dotar a la ciudad de una infraestructura física coincidente con sus necesidades en materia de seguridad, convivencia y justicia es dinámico por naturaleza de tal manera que su atención no se satisface con un cúmulo de acciones por muy bien planeadas y ejecutadas que éstas se encuentren sino con la evaluación y seguimiento preciso del crecimiento, contenido y alcance de la demanda ciudadana por servicios de este tipo. En este sentido, es necesario tener en cuenta que la infraestructura física de la ciudad es un medio más puesto a disposición de la </w:t>
      </w:r>
      <w:r w:rsidR="005A6855">
        <w:rPr>
          <w:rFonts w:asciiTheme="minorHAnsi" w:hAnsiTheme="minorHAnsi" w:cs="Arial"/>
          <w:sz w:val="22"/>
          <w:szCs w:val="22"/>
          <w:lang w:val="es-CO"/>
        </w:rPr>
        <w:t>A</w:t>
      </w:r>
      <w:r w:rsidRPr="007514F1">
        <w:rPr>
          <w:rFonts w:asciiTheme="minorHAnsi" w:hAnsiTheme="minorHAnsi" w:cs="Arial"/>
          <w:sz w:val="22"/>
          <w:szCs w:val="22"/>
          <w:lang w:val="es-CO"/>
        </w:rPr>
        <w:t>dministración y los ciudadanos para alcanzar los objetivos en seguridad, convivencia y justicia y en cuanto herramienta que es, se debe encontrar sometida al carácter cambiante y actual de los problemas que debe contribuir a resolver y adaptarse de manera permanente a los mismos.</w:t>
      </w:r>
    </w:p>
    <w:p w14:paraId="6FBCFC5A" w14:textId="77777777" w:rsidR="002E171F" w:rsidRDefault="002E171F" w:rsidP="0063405E">
      <w:pPr>
        <w:pStyle w:val="Sinespaciado"/>
        <w:jc w:val="both"/>
        <w:rPr>
          <w:rFonts w:asciiTheme="minorHAnsi" w:hAnsiTheme="minorHAnsi" w:cs="Arial"/>
          <w:sz w:val="22"/>
          <w:szCs w:val="22"/>
          <w:lang w:val="es-CO"/>
        </w:rPr>
      </w:pPr>
    </w:p>
    <w:p w14:paraId="402A0633" w14:textId="34F0CA28" w:rsidR="002E171F" w:rsidRDefault="002E171F" w:rsidP="0063405E">
      <w:pPr>
        <w:spacing w:after="0" w:line="240" w:lineRule="auto"/>
        <w:ind w:left="708"/>
        <w:jc w:val="both"/>
        <w:rPr>
          <w:rFonts w:cs="Arial"/>
        </w:rPr>
      </w:pPr>
      <w:r>
        <w:rPr>
          <w:rFonts w:cs="Arial"/>
        </w:rPr>
        <w:t>El actual proyecto de Plan de Ordenamiento Territorial</w:t>
      </w:r>
      <w:r w:rsidR="00E6537A">
        <w:rPr>
          <w:rFonts w:cs="Arial"/>
        </w:rPr>
        <w:t xml:space="preserve"> -POT-</w:t>
      </w:r>
      <w:r>
        <w:rPr>
          <w:rFonts w:cs="Arial"/>
        </w:rPr>
        <w:t xml:space="preserve"> que se tramita ante el Concejo Distrital constituye, desde la perspectiva urbanística, el instrumento normativo por excelencia que permitirá ampliar el inventario de suelos disponibles en Bogotá, D. C. para la construcción de equipamientos de seguridad y justicia que respondan a las necesidades de los ciudadanos y las autoridades.</w:t>
      </w:r>
    </w:p>
    <w:p w14:paraId="481B628D" w14:textId="06A1BBCB" w:rsidR="002E171F" w:rsidRDefault="000048BE" w:rsidP="0063405E">
      <w:pPr>
        <w:pStyle w:val="Sinespaciado"/>
        <w:jc w:val="both"/>
        <w:rPr>
          <w:rFonts w:asciiTheme="minorHAnsi" w:hAnsiTheme="minorHAnsi" w:cstheme="minorHAnsi"/>
          <w:sz w:val="22"/>
          <w:szCs w:val="22"/>
          <w:lang w:val="es-CO"/>
        </w:rPr>
      </w:pPr>
      <w:r w:rsidRPr="00E37BAA">
        <w:rPr>
          <w:rFonts w:asciiTheme="minorHAnsi" w:hAnsiTheme="minorHAnsi" w:cstheme="minorHAnsi"/>
          <w:sz w:val="22"/>
          <w:szCs w:val="22"/>
          <w:lang w:val="es-CO"/>
        </w:rPr>
        <w:t xml:space="preserve">  </w:t>
      </w:r>
    </w:p>
    <w:p w14:paraId="05AE0935" w14:textId="77777777" w:rsidR="00EC2D74" w:rsidRPr="00EC2D74" w:rsidRDefault="00EC2D74" w:rsidP="0063405E">
      <w:pPr>
        <w:pStyle w:val="Sinespaciado"/>
        <w:jc w:val="both"/>
        <w:rPr>
          <w:rFonts w:asciiTheme="minorHAnsi" w:hAnsiTheme="minorHAnsi" w:cstheme="minorHAnsi"/>
          <w:sz w:val="22"/>
          <w:szCs w:val="22"/>
          <w:lang w:val="es-CO"/>
        </w:rPr>
      </w:pPr>
    </w:p>
    <w:p w14:paraId="7ECB6D8A" w14:textId="301BAD7E" w:rsidR="00D714AB" w:rsidRPr="00E37BAA" w:rsidRDefault="001C74EE" w:rsidP="0063405E">
      <w:pPr>
        <w:spacing w:line="240" w:lineRule="auto"/>
        <w:jc w:val="both"/>
        <w:rPr>
          <w:rFonts w:cstheme="minorHAnsi"/>
          <w:b/>
          <w:bCs/>
        </w:rPr>
      </w:pPr>
      <w:r w:rsidRPr="008F2095">
        <w:rPr>
          <w:rFonts w:cstheme="minorHAnsi"/>
          <w:b/>
          <w:bCs/>
          <w:u w:val="single"/>
        </w:rPr>
        <w:t>PROBLEMA 3.</w:t>
      </w:r>
      <w:r w:rsidRPr="00E37BAA">
        <w:rPr>
          <w:rFonts w:cstheme="minorHAnsi"/>
          <w:b/>
          <w:bCs/>
        </w:rPr>
        <w:t xml:space="preserve"> CONSOLIDACIÓN SISTEMA DISTRITAL DE ACCESO A LA JUSTICIA</w:t>
      </w:r>
      <w:r w:rsidR="00A77DE8">
        <w:rPr>
          <w:rFonts w:cstheme="minorHAnsi"/>
          <w:b/>
          <w:bCs/>
        </w:rPr>
        <w:t xml:space="preserve"> – SDAJ -</w:t>
      </w:r>
    </w:p>
    <w:p w14:paraId="5D36447D" w14:textId="77777777" w:rsidR="00D714AB" w:rsidRPr="00E37BAA" w:rsidRDefault="00D714AB" w:rsidP="0063405E">
      <w:pPr>
        <w:pStyle w:val="Prrafodelista"/>
        <w:numPr>
          <w:ilvl w:val="0"/>
          <w:numId w:val="2"/>
        </w:numPr>
        <w:spacing w:line="240" w:lineRule="auto"/>
        <w:jc w:val="both"/>
        <w:rPr>
          <w:rFonts w:cstheme="minorHAnsi"/>
          <w:b/>
        </w:rPr>
      </w:pPr>
      <w:r w:rsidRPr="00E37BAA">
        <w:rPr>
          <w:rFonts w:cstheme="minorHAnsi"/>
          <w:b/>
        </w:rPr>
        <w:t xml:space="preserve">Definición del problema </w:t>
      </w:r>
    </w:p>
    <w:p w14:paraId="48794897" w14:textId="77777777" w:rsidR="00E6537A" w:rsidRDefault="00D714AB" w:rsidP="0063405E">
      <w:pPr>
        <w:spacing w:after="120" w:line="240" w:lineRule="auto"/>
        <w:jc w:val="both"/>
        <w:rPr>
          <w:rFonts w:cstheme="minorHAnsi"/>
          <w:lang w:val="es-ES"/>
        </w:rPr>
      </w:pPr>
      <w:r w:rsidRPr="00E37BAA">
        <w:rPr>
          <w:rFonts w:cstheme="minorHAnsi"/>
          <w:lang w:val="es-ES"/>
        </w:rPr>
        <w:t xml:space="preserve">Durante la ejecución del Plan de Desarrollo 2016 - 2020 “Bogotá, Mejor para Todos”, la ciudad logró como nunca en su historia, contar con una red de entidades operadoras, equipamientos y rutas de atención dispuestas para el acceso a la justicia de los ciudadanos. La prioridad fue </w:t>
      </w:r>
      <w:r w:rsidR="003C18D8">
        <w:rPr>
          <w:rFonts w:cstheme="minorHAnsi"/>
          <w:lang w:val="es-ES"/>
        </w:rPr>
        <w:t>crear</w:t>
      </w:r>
      <w:r w:rsidRPr="00E37BAA">
        <w:rPr>
          <w:rFonts w:cstheme="minorHAnsi"/>
          <w:lang w:val="es-ES"/>
        </w:rPr>
        <w:t xml:space="preserve"> un Sistema de Justicia que respondiera a las necesidades de la ciudad de forma fácil y oportuna. Para ello se acercaron los servicios de justicia a la comunidad, con rutas de acceso claras y con entidades articuladas para ofrecer una atención integral y de calidad. </w:t>
      </w:r>
    </w:p>
    <w:p w14:paraId="05EE44E8" w14:textId="14883581" w:rsidR="00D714AB" w:rsidRPr="00E37BAA" w:rsidRDefault="00D714AB" w:rsidP="0063405E">
      <w:pPr>
        <w:spacing w:after="120" w:line="240" w:lineRule="auto"/>
        <w:jc w:val="both"/>
        <w:rPr>
          <w:rFonts w:cstheme="minorHAnsi"/>
          <w:lang w:val="es-ES"/>
        </w:rPr>
      </w:pPr>
      <w:r w:rsidRPr="00E37BAA">
        <w:rPr>
          <w:rFonts w:cstheme="minorHAnsi"/>
          <w:lang w:val="es-ES"/>
        </w:rPr>
        <w:lastRenderedPageBreak/>
        <w:t xml:space="preserve">Su objetivo fue promover la garantía de derechos de la ciudadanía, generar efectos en la percepción de seguridad y dar respuesta a las demandas de justicia derivadas de las condiciones propias de seguridad de la capital. Bajo esta lógica, el Sistema Distrital de Justicia es un medio para mejorar la seguridad de la ciudad mediante acciones de prevención de conflictos, atención a ciudadanos, fortalecimiento a los equipamientos, el acceso al Sistema de Responsabilidad Penal Adolescente y las acciones en materia penitenciaria y </w:t>
      </w:r>
      <w:proofErr w:type="spellStart"/>
      <w:r w:rsidRPr="00E37BAA">
        <w:rPr>
          <w:rFonts w:cstheme="minorHAnsi"/>
          <w:lang w:val="es-ES"/>
        </w:rPr>
        <w:t>pospenitenciaria</w:t>
      </w:r>
      <w:proofErr w:type="spellEnd"/>
      <w:r w:rsidRPr="00E37BAA">
        <w:rPr>
          <w:rFonts w:cstheme="minorHAnsi"/>
          <w:lang w:val="es-ES"/>
        </w:rPr>
        <w:t xml:space="preserve">. </w:t>
      </w:r>
    </w:p>
    <w:p w14:paraId="4C21E4E3" w14:textId="102C1A44" w:rsidR="00216D56" w:rsidRDefault="00D714AB" w:rsidP="0063405E">
      <w:pPr>
        <w:spacing w:after="120" w:line="240" w:lineRule="auto"/>
        <w:jc w:val="both"/>
        <w:rPr>
          <w:rFonts w:cstheme="minorHAnsi"/>
          <w:lang w:val="es-ES"/>
        </w:rPr>
      </w:pPr>
      <w:r w:rsidRPr="00E37BAA">
        <w:rPr>
          <w:rFonts w:cstheme="minorHAnsi"/>
          <w:lang w:val="es-ES"/>
        </w:rPr>
        <w:t>Sin embargo, a la fecha, persisten algunas problemáticas relacionadas con la articulación de las entidades operadoras, las condiciones de los equipamientos de justicia y aspectos institucionales, que tienen como resultado desafíos de cara a la ampliación de la oferta de justicia, así como en la confianza de la ciudadanía frente al sistema.</w:t>
      </w:r>
      <w:r w:rsidR="00216D56">
        <w:rPr>
          <w:rFonts w:cstheme="minorHAnsi"/>
          <w:lang w:val="es-ES"/>
        </w:rPr>
        <w:t xml:space="preserve"> Estas problemáticas, de no ser enfrentadas</w:t>
      </w:r>
      <w:r w:rsidR="00C11A52">
        <w:rPr>
          <w:rFonts w:cstheme="minorHAnsi"/>
          <w:lang w:val="es-ES"/>
        </w:rPr>
        <w:t xml:space="preserve"> en el marco de la con</w:t>
      </w:r>
      <w:r w:rsidR="00A77DE8">
        <w:rPr>
          <w:rFonts w:cstheme="minorHAnsi"/>
          <w:lang w:val="es-ES"/>
        </w:rPr>
        <w:t>solidación del SDAJ,</w:t>
      </w:r>
      <w:r w:rsidR="00216D56">
        <w:rPr>
          <w:rFonts w:cstheme="minorHAnsi"/>
          <w:lang w:val="es-ES"/>
        </w:rPr>
        <w:t xml:space="preserve"> corren el riesgo de contribuir a la problemática central enunciada previamente. </w:t>
      </w:r>
      <w:r w:rsidRPr="00E37BAA">
        <w:rPr>
          <w:rFonts w:cstheme="minorHAnsi"/>
          <w:lang w:val="es-ES"/>
        </w:rPr>
        <w:t xml:space="preserve"> </w:t>
      </w:r>
    </w:p>
    <w:p w14:paraId="5D6823EC" w14:textId="6FE2A191" w:rsidR="00B3695C" w:rsidRDefault="00D714AB" w:rsidP="0063405E">
      <w:pPr>
        <w:spacing w:after="120" w:line="240" w:lineRule="auto"/>
        <w:jc w:val="both"/>
        <w:rPr>
          <w:rFonts w:cstheme="minorHAnsi"/>
          <w:lang w:val="es-ES"/>
        </w:rPr>
      </w:pPr>
      <w:r w:rsidRPr="00B3695C">
        <w:rPr>
          <w:rFonts w:cstheme="minorHAnsi"/>
          <w:lang w:val="es-ES"/>
        </w:rPr>
        <w:t>A continuación,</w:t>
      </w:r>
      <w:r w:rsidRPr="00E37BAA">
        <w:rPr>
          <w:rFonts w:cstheme="minorHAnsi"/>
          <w:lang w:val="es-ES"/>
        </w:rPr>
        <w:t xml:space="preserve"> se presentará la evolución de la problemática a partir de la puesta en marcha del Plan Integral de Seguridad, Convivencia y Justicia</w:t>
      </w:r>
      <w:r w:rsidR="00216D56">
        <w:rPr>
          <w:rFonts w:cstheme="minorHAnsi"/>
          <w:lang w:val="es-ES"/>
        </w:rPr>
        <w:t>,</w:t>
      </w:r>
      <w:r w:rsidRPr="00E37BAA">
        <w:rPr>
          <w:rFonts w:cstheme="minorHAnsi"/>
          <w:lang w:val="es-ES"/>
        </w:rPr>
        <w:t xml:space="preserve"> así como de las acciones realizadas para mitigar su impacto. </w:t>
      </w:r>
    </w:p>
    <w:p w14:paraId="60C96324" w14:textId="15D4910D" w:rsidR="00B3695C" w:rsidRPr="00B3695C" w:rsidRDefault="00B3695C" w:rsidP="0063405E">
      <w:pPr>
        <w:pStyle w:val="Prrafodelista"/>
        <w:numPr>
          <w:ilvl w:val="0"/>
          <w:numId w:val="2"/>
        </w:numPr>
        <w:spacing w:line="240" w:lineRule="auto"/>
        <w:jc w:val="both"/>
        <w:rPr>
          <w:rFonts w:cstheme="minorHAnsi"/>
          <w:b/>
        </w:rPr>
      </w:pPr>
      <w:r w:rsidRPr="00E37BAA">
        <w:rPr>
          <w:rFonts w:cstheme="minorHAnsi"/>
          <w:b/>
        </w:rPr>
        <w:t xml:space="preserve">Evolución del problema </w:t>
      </w:r>
    </w:p>
    <w:p w14:paraId="3D847E17" w14:textId="77777777" w:rsidR="00D714AB" w:rsidRPr="00E37BAA" w:rsidRDefault="00D714AB" w:rsidP="0063405E">
      <w:pPr>
        <w:spacing w:after="120" w:line="240" w:lineRule="auto"/>
        <w:jc w:val="both"/>
        <w:rPr>
          <w:rFonts w:cstheme="minorHAnsi"/>
          <w:lang w:val="es-ES"/>
        </w:rPr>
      </w:pPr>
      <w:r w:rsidRPr="00E37BAA">
        <w:rPr>
          <w:rFonts w:cstheme="minorHAnsi"/>
          <w:lang w:val="es-ES"/>
        </w:rPr>
        <w:t xml:space="preserve">Según la </w:t>
      </w:r>
      <w:r w:rsidRPr="00E37BAA">
        <w:rPr>
          <w:rFonts w:cstheme="minorHAnsi"/>
          <w:i/>
          <w:lang w:val="es-ES"/>
        </w:rPr>
        <w:t>Encuesta de Percepción y Victimización de la Cámara de Comercio de Bogotá (2015)</w:t>
      </w:r>
      <w:r w:rsidRPr="00E37BAA">
        <w:rPr>
          <w:rFonts w:cstheme="minorHAnsi"/>
          <w:lang w:val="es-ES"/>
        </w:rPr>
        <w:t>, el 88% de los bogotanos tuvieron una opinión desfavorable del sistema de justicia en la ciudad, en donde se resaltó el porcentaje de la población que consideraba que los resultados de la justicia habían empeorado: según esta encuesta, en 2015 sólo un 8% de los bogotanos creían posible que un presunto delincuente fuera puesto a disposición de las autoridades.</w:t>
      </w:r>
    </w:p>
    <w:p w14:paraId="1EE6108C" w14:textId="3C4C7824" w:rsidR="00D714AB" w:rsidRPr="00E37BAA" w:rsidRDefault="00D714AB" w:rsidP="0063405E">
      <w:pPr>
        <w:spacing w:after="120" w:line="240" w:lineRule="auto"/>
        <w:jc w:val="both"/>
        <w:rPr>
          <w:rFonts w:cstheme="minorHAnsi"/>
          <w:lang w:val="es-ES"/>
        </w:rPr>
      </w:pPr>
      <w:r w:rsidRPr="00E37BAA">
        <w:rPr>
          <w:rFonts w:cstheme="minorHAnsi"/>
          <w:lang w:val="es-ES"/>
        </w:rPr>
        <w:t xml:space="preserve">Por su parte, los resultados obtenidos en la encuesta </w:t>
      </w:r>
      <w:r w:rsidRPr="00E37BAA">
        <w:rPr>
          <w:rFonts w:cstheme="minorHAnsi"/>
          <w:i/>
          <w:lang w:val="es-ES"/>
        </w:rPr>
        <w:t xml:space="preserve">Bogotá Cómo Vamos </w:t>
      </w:r>
      <w:r w:rsidRPr="00E37BAA">
        <w:rPr>
          <w:rFonts w:cstheme="minorHAnsi"/>
          <w:lang w:val="es-ES"/>
        </w:rPr>
        <w:t>(2015), reafirmaron la tendencia en donde se evidencia que el 88% de los bogotanos encuestados consideraban como “baja” la probabilidad de que un delito fuera sancionado</w:t>
      </w:r>
      <w:r w:rsidR="00F164F0">
        <w:rPr>
          <w:rFonts w:cstheme="minorHAnsi"/>
          <w:lang w:val="es-ES"/>
        </w:rPr>
        <w:t>. Lo anterior,</w:t>
      </w:r>
      <w:r w:rsidRPr="00E37BAA">
        <w:rPr>
          <w:rFonts w:cstheme="minorHAnsi"/>
          <w:lang w:val="es-ES"/>
        </w:rPr>
        <w:t xml:space="preserve"> sumado al bajo nivel de denuncia presentado en la ciudad</w:t>
      </w:r>
      <w:r w:rsidR="00F164F0">
        <w:rPr>
          <w:rFonts w:cstheme="minorHAnsi"/>
          <w:lang w:val="es-ES"/>
        </w:rPr>
        <w:t xml:space="preserve"> </w:t>
      </w:r>
      <w:r w:rsidRPr="00E37BAA">
        <w:rPr>
          <w:rFonts w:cstheme="minorHAnsi"/>
          <w:lang w:val="es-ES"/>
        </w:rPr>
        <w:t>justificado en un 28% por la demora en el trámite y en un 24% por la desconfianza en la autoridad.</w:t>
      </w:r>
    </w:p>
    <w:p w14:paraId="67C00D23" w14:textId="44537BE9" w:rsidR="0028269C" w:rsidRPr="00E37BAA" w:rsidRDefault="0028269C" w:rsidP="0063405E">
      <w:pPr>
        <w:spacing w:after="120" w:line="240" w:lineRule="auto"/>
        <w:jc w:val="both"/>
        <w:rPr>
          <w:rFonts w:cstheme="minorHAnsi"/>
          <w:lang w:val="es-ES"/>
        </w:rPr>
      </w:pPr>
      <w:r>
        <w:rPr>
          <w:rFonts w:cstheme="minorHAnsi"/>
          <w:lang w:val="es-ES"/>
        </w:rPr>
        <w:t>De acuerdo con lo anterior, se identificó la</w:t>
      </w:r>
      <w:r w:rsidRPr="00E37BAA">
        <w:rPr>
          <w:rFonts w:cstheme="minorHAnsi"/>
          <w:lang w:val="es-ES"/>
        </w:rPr>
        <w:t xml:space="preserve"> ausencia de un modelo que estableciera de manera clara y eficiente el nivel de coordinación y calidad que debía existir entre los diferentes tipos de justicia, de los actores involucrado y de los equipamientos de la ciudad, que en conjunto garantizaran un acceso a la justicia a la población, mediante un Sistema Distrital de Justicia</w:t>
      </w:r>
      <w:r w:rsidRPr="00E37BAA">
        <w:rPr>
          <w:rStyle w:val="Refdenotaalpie"/>
          <w:rFonts w:cstheme="minorHAnsi"/>
          <w:lang w:val="es-ES"/>
        </w:rPr>
        <w:footnoteReference w:id="5"/>
      </w:r>
      <w:r w:rsidRPr="00E37BAA">
        <w:rPr>
          <w:rFonts w:cstheme="minorHAnsi"/>
          <w:lang w:val="es-ES"/>
        </w:rPr>
        <w:t xml:space="preserve"> eficiente y eficaz, con cobertura y presencia en el Distrito Capital. </w:t>
      </w:r>
    </w:p>
    <w:p w14:paraId="7B159CAE" w14:textId="4378C032" w:rsidR="00D714AB" w:rsidRPr="00E37BAA" w:rsidRDefault="00D714AB" w:rsidP="0063405E">
      <w:pPr>
        <w:spacing w:after="120" w:line="240" w:lineRule="auto"/>
        <w:jc w:val="both"/>
        <w:rPr>
          <w:rFonts w:cstheme="minorHAnsi"/>
          <w:lang w:val="es-ES"/>
        </w:rPr>
      </w:pPr>
      <w:r w:rsidRPr="00E37BAA">
        <w:rPr>
          <w:rFonts w:cstheme="minorHAnsi"/>
          <w:lang w:val="es-ES"/>
        </w:rPr>
        <w:t xml:space="preserve">Como resultado de lo anterior, el Plan </w:t>
      </w:r>
      <w:r w:rsidR="00F164F0">
        <w:rPr>
          <w:rFonts w:cstheme="minorHAnsi"/>
          <w:lang w:val="es-ES"/>
        </w:rPr>
        <w:t xml:space="preserve">Distrital </w:t>
      </w:r>
      <w:r w:rsidRPr="00E37BAA">
        <w:rPr>
          <w:rFonts w:cstheme="minorHAnsi"/>
          <w:lang w:val="es-ES"/>
        </w:rPr>
        <w:t>de Desarrollo “Bogotá Mejor para Todos</w:t>
      </w:r>
      <w:r w:rsidR="00F164F0">
        <w:rPr>
          <w:rFonts w:cstheme="minorHAnsi"/>
          <w:lang w:val="es-ES"/>
        </w:rPr>
        <w:t xml:space="preserve"> 2016-2020</w:t>
      </w:r>
      <w:r w:rsidRPr="00E37BAA">
        <w:rPr>
          <w:rFonts w:cstheme="minorHAnsi"/>
          <w:lang w:val="es-ES"/>
        </w:rPr>
        <w:t xml:space="preserve">” </w:t>
      </w:r>
      <w:r w:rsidR="00F164F0">
        <w:rPr>
          <w:rFonts w:cstheme="minorHAnsi"/>
          <w:lang w:val="es-ES"/>
        </w:rPr>
        <w:t>priorizó</w:t>
      </w:r>
      <w:r w:rsidRPr="00E37BAA">
        <w:rPr>
          <w:rFonts w:cstheme="minorHAnsi"/>
          <w:lang w:val="es-ES"/>
        </w:rPr>
        <w:t xml:space="preserve"> cuatro áreas problemáticas en materia de justicia</w:t>
      </w:r>
      <w:r w:rsidR="00F164F0">
        <w:rPr>
          <w:rFonts w:cstheme="minorHAnsi"/>
          <w:lang w:val="es-ES"/>
        </w:rPr>
        <w:t xml:space="preserve"> que son competencia del nivel distrital</w:t>
      </w:r>
      <w:r w:rsidR="0028269C">
        <w:rPr>
          <w:rFonts w:cstheme="minorHAnsi"/>
          <w:lang w:val="es-ES"/>
        </w:rPr>
        <w:t xml:space="preserve"> y a través de la operativización del PISCJ se ha avanzado</w:t>
      </w:r>
      <w:r w:rsidR="001943D8">
        <w:rPr>
          <w:rFonts w:cstheme="minorHAnsi"/>
          <w:lang w:val="es-ES"/>
        </w:rPr>
        <w:t xml:space="preserve"> de la siguiente manera</w:t>
      </w:r>
      <w:r w:rsidR="00F164F0">
        <w:rPr>
          <w:rFonts w:cstheme="minorHAnsi"/>
          <w:lang w:val="es-ES"/>
        </w:rPr>
        <w:t>:</w:t>
      </w:r>
      <w:r w:rsidRPr="00E37BAA">
        <w:rPr>
          <w:rFonts w:cstheme="minorHAnsi"/>
          <w:lang w:val="es-ES"/>
        </w:rPr>
        <w:t xml:space="preserve"> </w:t>
      </w:r>
    </w:p>
    <w:p w14:paraId="30D4F0D3" w14:textId="35379525" w:rsidR="001943D8" w:rsidRDefault="00F164F0" w:rsidP="0063405E">
      <w:pPr>
        <w:pStyle w:val="Prrafodelista"/>
        <w:numPr>
          <w:ilvl w:val="0"/>
          <w:numId w:val="3"/>
        </w:numPr>
        <w:spacing w:line="240" w:lineRule="auto"/>
        <w:jc w:val="both"/>
        <w:rPr>
          <w:rFonts w:cstheme="minorHAnsi"/>
          <w:lang w:val="es-ES"/>
        </w:rPr>
      </w:pPr>
      <w:r>
        <w:rPr>
          <w:rFonts w:cstheme="minorHAnsi"/>
          <w:u w:val="single"/>
          <w:lang w:val="es-ES"/>
        </w:rPr>
        <w:t>B</w:t>
      </w:r>
      <w:r w:rsidR="00D714AB" w:rsidRPr="00564F64">
        <w:rPr>
          <w:rFonts w:cstheme="minorHAnsi"/>
          <w:u w:val="single"/>
          <w:lang w:val="es-ES"/>
        </w:rPr>
        <w:t>aja articulación de los operadores</w:t>
      </w:r>
      <w:r w:rsidR="00F1409C">
        <w:rPr>
          <w:rFonts w:cstheme="minorHAnsi"/>
          <w:u w:val="single"/>
          <w:lang w:val="es-ES"/>
        </w:rPr>
        <w:t xml:space="preserve"> </w:t>
      </w:r>
      <w:r w:rsidR="0028269C">
        <w:rPr>
          <w:rFonts w:cstheme="minorHAnsi"/>
          <w:u w:val="single"/>
          <w:lang w:val="es-ES"/>
        </w:rPr>
        <w:t xml:space="preserve">de justicia: </w:t>
      </w:r>
      <w:r w:rsidR="0028269C">
        <w:rPr>
          <w:rFonts w:cstheme="minorHAnsi"/>
          <w:lang w:val="es-ES"/>
        </w:rPr>
        <w:t>S</w:t>
      </w:r>
      <w:r w:rsidR="0028269C" w:rsidRPr="00564F64">
        <w:rPr>
          <w:rFonts w:cstheme="minorHAnsi"/>
          <w:lang w:val="es-ES"/>
        </w:rPr>
        <w:t>i bien Bogotá contaba con operadores de justicia formal, no formal y comunitaria que actuaban en el marco de sus competencias, éstos presentaban una baja articulación entre sí.</w:t>
      </w:r>
      <w:r w:rsidR="0028269C">
        <w:rPr>
          <w:rFonts w:cstheme="minorHAnsi"/>
          <w:lang w:val="es-ES"/>
        </w:rPr>
        <w:t xml:space="preserve"> Al respecto,</w:t>
      </w:r>
      <w:r w:rsidR="001943D8">
        <w:rPr>
          <w:rFonts w:cstheme="minorHAnsi"/>
          <w:lang w:val="es-ES"/>
        </w:rPr>
        <w:t xml:space="preserve"> </w:t>
      </w:r>
      <w:r w:rsidR="001943D8" w:rsidRPr="001943D8">
        <w:rPr>
          <w:rFonts w:cstheme="minorHAnsi"/>
          <w:lang w:val="es-ES"/>
        </w:rPr>
        <w:t>con el fin de avanzar en la consolidación del Sistema Distrital de Justicia,</w:t>
      </w:r>
      <w:r w:rsidR="001943D8">
        <w:rPr>
          <w:rFonts w:cstheme="minorHAnsi"/>
          <w:lang w:val="es-ES"/>
        </w:rPr>
        <w:t xml:space="preserve"> la SDSCJ</w:t>
      </w:r>
      <w:r w:rsidR="001943D8" w:rsidRPr="001943D8">
        <w:rPr>
          <w:rFonts w:cstheme="minorHAnsi"/>
          <w:lang w:val="es-ES"/>
        </w:rPr>
        <w:t xml:space="preserve"> implementó estrategias orientadas hacia el fortalecimiento de Sistemas Locales de Justicia, con las que generó condiciones para el diálogo y la articulación entre las entidades de justicia formal, no formal y comunitaria con presencia en los territorios de la ciudad. </w:t>
      </w:r>
    </w:p>
    <w:p w14:paraId="30616F81" w14:textId="77777777" w:rsidR="00E6537A" w:rsidRPr="00E6537A" w:rsidRDefault="00E6537A" w:rsidP="0063405E">
      <w:pPr>
        <w:pStyle w:val="Prrafodelista"/>
        <w:spacing w:line="240" w:lineRule="auto"/>
        <w:ind w:left="1080"/>
        <w:jc w:val="both"/>
        <w:rPr>
          <w:rFonts w:cstheme="minorHAnsi"/>
          <w:lang w:val="es-ES"/>
        </w:rPr>
      </w:pPr>
    </w:p>
    <w:p w14:paraId="5FE343D9" w14:textId="77777777" w:rsidR="001943D8" w:rsidRPr="001943D8" w:rsidRDefault="001943D8" w:rsidP="0063405E">
      <w:pPr>
        <w:pStyle w:val="Prrafodelista"/>
        <w:spacing w:line="240" w:lineRule="auto"/>
        <w:ind w:left="1080"/>
        <w:jc w:val="both"/>
        <w:rPr>
          <w:rFonts w:cstheme="minorHAnsi"/>
          <w:lang w:val="es-ES"/>
        </w:rPr>
      </w:pPr>
      <w:r w:rsidRPr="001943D8">
        <w:rPr>
          <w:rFonts w:cstheme="minorHAnsi"/>
          <w:lang w:val="es-ES"/>
        </w:rPr>
        <w:lastRenderedPageBreak/>
        <w:t xml:space="preserve">Para lograrlo, suscribió convenios con 13 entidades operadoras de justicia, a través de los cuales formalizó su participación en el Sistema Distrital de Justicia, creando condiciones óptimas para un intercambio de información, la construcción conjunta de rutas de atención y la consolidación de instancias de planeación, articulación y seguimiento. Como resultado, a la fecha existen 6 rutas de atención a la ciudadanía priorizadas, las cuales cuentan con rutas de atención articuladas y estandarizadas. </w:t>
      </w:r>
    </w:p>
    <w:p w14:paraId="4F4ED715" w14:textId="77777777" w:rsidR="001943D8" w:rsidRDefault="001943D8" w:rsidP="0063405E">
      <w:pPr>
        <w:pStyle w:val="Prrafodelista"/>
        <w:spacing w:line="240" w:lineRule="auto"/>
        <w:ind w:left="1080"/>
        <w:jc w:val="both"/>
        <w:rPr>
          <w:rFonts w:cstheme="minorHAnsi"/>
          <w:lang w:val="es-ES"/>
        </w:rPr>
      </w:pPr>
    </w:p>
    <w:p w14:paraId="2CAEB273" w14:textId="1E9E3080" w:rsidR="001943D8" w:rsidRDefault="001943D8" w:rsidP="0063405E">
      <w:pPr>
        <w:pStyle w:val="Prrafodelista"/>
        <w:spacing w:line="240" w:lineRule="auto"/>
        <w:ind w:left="1080"/>
        <w:jc w:val="both"/>
        <w:rPr>
          <w:rFonts w:cstheme="minorHAnsi"/>
          <w:lang w:val="es-ES"/>
        </w:rPr>
      </w:pPr>
      <w:r w:rsidRPr="001943D8">
        <w:rPr>
          <w:rFonts w:cstheme="minorHAnsi"/>
          <w:lang w:val="es-ES"/>
        </w:rPr>
        <w:t xml:space="preserve">Así mismo, la SDSCJ promulgó la Resolución 263 del 05 de junio de 2019, </w:t>
      </w:r>
      <w:r w:rsidRPr="001943D8">
        <w:rPr>
          <w:rFonts w:cstheme="minorHAnsi"/>
          <w:i/>
          <w:lang w:val="es-ES"/>
        </w:rPr>
        <w:t xml:space="preserve">“Por la cual se define el modelo de articulación para consolidar el Sistema Distrital de Justicia”. </w:t>
      </w:r>
      <w:r w:rsidRPr="001943D8">
        <w:rPr>
          <w:rFonts w:cstheme="minorHAnsi"/>
          <w:lang w:val="es-ES"/>
        </w:rPr>
        <w:t xml:space="preserve">A través de este acto administrativo, se estableció un modelo que, a partir de rutas y protocolos para el acceso a la justicia, define los componentes básicos del sistema, a saber: </w:t>
      </w:r>
    </w:p>
    <w:p w14:paraId="35B7703F" w14:textId="77777777" w:rsidR="001943D8" w:rsidRPr="001943D8" w:rsidRDefault="001943D8" w:rsidP="0063405E">
      <w:pPr>
        <w:pStyle w:val="Prrafodelista"/>
        <w:spacing w:line="240" w:lineRule="auto"/>
        <w:ind w:left="1080"/>
        <w:jc w:val="both"/>
        <w:rPr>
          <w:rFonts w:cstheme="minorHAnsi"/>
          <w:lang w:val="es-ES"/>
        </w:rPr>
      </w:pPr>
    </w:p>
    <w:p w14:paraId="4500BEB8" w14:textId="3270805A" w:rsidR="001943D8" w:rsidRPr="001943D8" w:rsidRDefault="001943D8" w:rsidP="0063405E">
      <w:pPr>
        <w:pStyle w:val="Prrafodelista"/>
        <w:numPr>
          <w:ilvl w:val="2"/>
          <w:numId w:val="15"/>
        </w:numPr>
        <w:spacing w:line="240" w:lineRule="auto"/>
        <w:rPr>
          <w:rFonts w:cstheme="minorHAnsi"/>
          <w:lang w:val="es-ES"/>
        </w:rPr>
      </w:pPr>
      <w:r w:rsidRPr="001943D8">
        <w:rPr>
          <w:rFonts w:cstheme="minorHAnsi"/>
          <w:lang w:val="es-ES"/>
        </w:rPr>
        <w:t xml:space="preserve">Los Sistemas Locales de Justicia. </w:t>
      </w:r>
    </w:p>
    <w:p w14:paraId="48A1639F" w14:textId="73965EC5" w:rsidR="001943D8" w:rsidRPr="001943D8" w:rsidRDefault="001943D8" w:rsidP="0063405E">
      <w:pPr>
        <w:pStyle w:val="Prrafodelista"/>
        <w:numPr>
          <w:ilvl w:val="2"/>
          <w:numId w:val="15"/>
        </w:numPr>
        <w:spacing w:line="240" w:lineRule="auto"/>
        <w:rPr>
          <w:rFonts w:cstheme="minorHAnsi"/>
          <w:lang w:val="es-ES"/>
        </w:rPr>
      </w:pPr>
      <w:r w:rsidRPr="001943D8">
        <w:rPr>
          <w:rFonts w:cstheme="minorHAnsi"/>
          <w:lang w:val="es-ES"/>
        </w:rPr>
        <w:t xml:space="preserve">La red de equipamientos para el acceso a la justicia. </w:t>
      </w:r>
    </w:p>
    <w:p w14:paraId="7277AF3D" w14:textId="7BC5FEFF" w:rsidR="001943D8" w:rsidRPr="001943D8" w:rsidRDefault="001943D8" w:rsidP="0063405E">
      <w:pPr>
        <w:pStyle w:val="Prrafodelista"/>
        <w:numPr>
          <w:ilvl w:val="2"/>
          <w:numId w:val="15"/>
        </w:numPr>
        <w:spacing w:line="240" w:lineRule="auto"/>
        <w:rPr>
          <w:rFonts w:cstheme="minorHAnsi"/>
          <w:lang w:val="es-ES"/>
        </w:rPr>
      </w:pPr>
      <w:r w:rsidRPr="001943D8">
        <w:rPr>
          <w:rFonts w:cstheme="minorHAnsi"/>
          <w:lang w:val="es-ES"/>
        </w:rPr>
        <w:t xml:space="preserve">Estrategias para el fortalecimiento y acompañamiento a la Justicia Comunitaria (propia, </w:t>
      </w:r>
      <w:proofErr w:type="spellStart"/>
      <w:r w:rsidRPr="001943D8">
        <w:rPr>
          <w:rFonts w:cstheme="minorHAnsi"/>
          <w:i/>
          <w:lang w:val="es-ES"/>
        </w:rPr>
        <w:t>Room</w:t>
      </w:r>
      <w:proofErr w:type="spellEnd"/>
      <w:r w:rsidRPr="001943D8">
        <w:rPr>
          <w:rFonts w:cstheme="minorHAnsi"/>
          <w:lang w:val="es-ES"/>
        </w:rPr>
        <w:t>, entre otras).</w:t>
      </w:r>
    </w:p>
    <w:p w14:paraId="748AA740" w14:textId="20F4C192" w:rsidR="001943D8" w:rsidRPr="001943D8" w:rsidRDefault="001943D8" w:rsidP="0063405E">
      <w:pPr>
        <w:pStyle w:val="Prrafodelista"/>
        <w:numPr>
          <w:ilvl w:val="2"/>
          <w:numId w:val="15"/>
        </w:numPr>
        <w:spacing w:line="240" w:lineRule="auto"/>
        <w:rPr>
          <w:rFonts w:cstheme="minorHAnsi"/>
          <w:lang w:val="es-ES"/>
        </w:rPr>
      </w:pPr>
      <w:r w:rsidRPr="001943D8">
        <w:rPr>
          <w:rFonts w:cstheme="minorHAnsi"/>
          <w:lang w:val="es-ES"/>
        </w:rPr>
        <w:t xml:space="preserve">El Sistema de Responsabilidad Penal Adolescente. </w:t>
      </w:r>
    </w:p>
    <w:p w14:paraId="063F3844" w14:textId="53464EE4" w:rsidR="001943D8" w:rsidRPr="001943D8" w:rsidRDefault="001943D8" w:rsidP="0063405E">
      <w:pPr>
        <w:pStyle w:val="Prrafodelista"/>
        <w:numPr>
          <w:ilvl w:val="2"/>
          <w:numId w:val="15"/>
        </w:numPr>
        <w:spacing w:line="240" w:lineRule="auto"/>
        <w:rPr>
          <w:rFonts w:cstheme="minorHAnsi"/>
          <w:lang w:val="es-ES"/>
        </w:rPr>
      </w:pPr>
      <w:r w:rsidRPr="001943D8">
        <w:rPr>
          <w:rFonts w:cstheme="minorHAnsi"/>
          <w:lang w:val="es-ES"/>
        </w:rPr>
        <w:t xml:space="preserve">Las rutas y protocolos para el acceso a la justicia. </w:t>
      </w:r>
    </w:p>
    <w:p w14:paraId="425E3F7A" w14:textId="7A7581F6" w:rsidR="001943D8" w:rsidRPr="001943D8" w:rsidRDefault="001943D8" w:rsidP="0063405E">
      <w:pPr>
        <w:pStyle w:val="Prrafodelista"/>
        <w:numPr>
          <w:ilvl w:val="2"/>
          <w:numId w:val="15"/>
        </w:numPr>
        <w:spacing w:line="240" w:lineRule="auto"/>
        <w:rPr>
          <w:rFonts w:cstheme="minorHAnsi"/>
          <w:lang w:val="es-ES"/>
        </w:rPr>
      </w:pPr>
      <w:r w:rsidRPr="001943D8">
        <w:rPr>
          <w:rFonts w:cstheme="minorHAnsi"/>
          <w:lang w:val="es-ES"/>
        </w:rPr>
        <w:t xml:space="preserve">Las estrategias carcelarias, penitenciarias y </w:t>
      </w:r>
      <w:proofErr w:type="spellStart"/>
      <w:r w:rsidRPr="001943D8">
        <w:rPr>
          <w:rFonts w:cstheme="minorHAnsi"/>
          <w:lang w:val="es-ES"/>
        </w:rPr>
        <w:t>pos</w:t>
      </w:r>
      <w:proofErr w:type="spellEnd"/>
      <w:r w:rsidRPr="001943D8">
        <w:rPr>
          <w:rFonts w:cstheme="minorHAnsi"/>
          <w:lang w:val="es-ES"/>
        </w:rPr>
        <w:t xml:space="preserve"> penitenciarias. </w:t>
      </w:r>
    </w:p>
    <w:p w14:paraId="1D15E06E" w14:textId="24FF7125" w:rsidR="00F13DE6" w:rsidRPr="00F13DE6" w:rsidRDefault="001943D8" w:rsidP="0063405E">
      <w:pPr>
        <w:spacing w:line="240" w:lineRule="auto"/>
        <w:ind w:left="1068"/>
        <w:rPr>
          <w:rFonts w:cstheme="minorHAnsi"/>
          <w:lang w:val="es-ES"/>
        </w:rPr>
      </w:pPr>
      <w:r w:rsidRPr="001943D8">
        <w:rPr>
          <w:rFonts w:cstheme="minorHAnsi"/>
          <w:lang w:val="es-ES"/>
        </w:rPr>
        <w:t xml:space="preserve">Finalmente, dicha resolución establece líneas estratégicas para la implementación fortalecimiento y consolidación del Sistema Distrital de Justicia. </w:t>
      </w:r>
    </w:p>
    <w:p w14:paraId="0728A68A" w14:textId="595A013E" w:rsidR="00D714AB" w:rsidRDefault="0028269C" w:rsidP="0063405E">
      <w:pPr>
        <w:pStyle w:val="Prrafodelista"/>
        <w:numPr>
          <w:ilvl w:val="0"/>
          <w:numId w:val="3"/>
        </w:numPr>
        <w:spacing w:line="240" w:lineRule="auto"/>
        <w:jc w:val="both"/>
        <w:rPr>
          <w:rFonts w:cstheme="minorHAnsi"/>
          <w:lang w:val="es-ES"/>
        </w:rPr>
      </w:pPr>
      <w:r>
        <w:rPr>
          <w:rFonts w:cstheme="minorHAnsi"/>
          <w:u w:val="single"/>
          <w:lang w:val="es-ES"/>
        </w:rPr>
        <w:t>D</w:t>
      </w:r>
      <w:r w:rsidR="00F1409C">
        <w:rPr>
          <w:rFonts w:cstheme="minorHAnsi"/>
          <w:u w:val="single"/>
          <w:lang w:val="es-ES"/>
        </w:rPr>
        <w:t>eficiencias en los equipamientos de justicia</w:t>
      </w:r>
      <w:r w:rsidR="00564F64" w:rsidRPr="00564F64">
        <w:rPr>
          <w:rFonts w:cstheme="minorHAnsi"/>
          <w:u w:val="single"/>
          <w:lang w:val="es-ES"/>
        </w:rPr>
        <w:t>:</w:t>
      </w:r>
      <w:r w:rsidR="00F1409C" w:rsidRPr="00F1409C">
        <w:rPr>
          <w:rFonts w:cstheme="minorHAnsi"/>
          <w:lang w:val="es-ES"/>
        </w:rPr>
        <w:t xml:space="preserve"> </w:t>
      </w:r>
      <w:r>
        <w:rPr>
          <w:rFonts w:cstheme="minorHAnsi"/>
          <w:lang w:val="es-ES"/>
        </w:rPr>
        <w:t>P</w:t>
      </w:r>
      <w:r w:rsidR="00F1409C" w:rsidRPr="00F1409C">
        <w:rPr>
          <w:rFonts w:cstheme="minorHAnsi"/>
          <w:lang w:val="es-ES"/>
        </w:rPr>
        <w:t>ara el año 2015, la ciudad tenía once (11) Casas de Justicia, las cuales no contaban con articulación entre sí ni con las entidades del orden nacional y distrital que allí hacían presencia, así como una falta de coordinación fuerte que le diera coherencia y efectividad. Igualmente, la Unidad Permanente de Justicia – UPJ-, se caracterizaba por su precaria infraestructura física y modelo de atención.</w:t>
      </w:r>
    </w:p>
    <w:p w14:paraId="6CEE97FD" w14:textId="1849B767" w:rsidR="001943D8" w:rsidRDefault="001943D8" w:rsidP="0063405E">
      <w:pPr>
        <w:pStyle w:val="Prrafodelista"/>
        <w:spacing w:line="240" w:lineRule="auto"/>
        <w:ind w:left="1080"/>
        <w:jc w:val="both"/>
        <w:rPr>
          <w:rFonts w:cstheme="minorHAnsi"/>
          <w:u w:val="single"/>
          <w:lang w:val="es-ES"/>
        </w:rPr>
      </w:pPr>
    </w:p>
    <w:p w14:paraId="1526D237" w14:textId="62336461" w:rsidR="001943D8" w:rsidRDefault="001943D8" w:rsidP="0063405E">
      <w:pPr>
        <w:pStyle w:val="Prrafodelista"/>
        <w:spacing w:line="240" w:lineRule="auto"/>
        <w:ind w:left="1080"/>
        <w:jc w:val="both"/>
        <w:rPr>
          <w:rFonts w:cstheme="minorHAnsi"/>
        </w:rPr>
      </w:pPr>
      <w:r>
        <w:rPr>
          <w:rFonts w:cstheme="minorHAnsi"/>
          <w:lang w:val="es-ES"/>
        </w:rPr>
        <w:t xml:space="preserve">Frente a estas deficiencias, teniendo en cuenta el </w:t>
      </w:r>
      <w:r w:rsidRPr="001943D8">
        <w:rPr>
          <w:rFonts w:cstheme="minorHAnsi"/>
        </w:rPr>
        <w:t>carácter de medio a través del cual se pretende la consecución de una o varias metas del plan de desarrollo, se pone de presente una vez más en el caso de las inversiones realizadas a instancias de la Subsecretaría de Inversiones y Fortalecimiento de las Capacidades Operativas para superar las deficiencias existentes en los Equipamientos de justicia. Tales inversiones se dirigieron fundamentalmente a la ampliación del número de los Equipamientos ya existentes y al mejoramiento de la infraestructura física y tecnológica de aquellos que ya se encontraban en funcionamiento.</w:t>
      </w:r>
    </w:p>
    <w:p w14:paraId="689EDAD1" w14:textId="313D6E40" w:rsidR="001943D8" w:rsidRDefault="001943D8" w:rsidP="0063405E">
      <w:pPr>
        <w:pStyle w:val="Prrafodelista"/>
        <w:spacing w:line="240" w:lineRule="auto"/>
        <w:ind w:left="1080"/>
        <w:jc w:val="both"/>
        <w:rPr>
          <w:rFonts w:cstheme="minorHAnsi"/>
        </w:rPr>
      </w:pPr>
    </w:p>
    <w:p w14:paraId="41E312B1" w14:textId="3A312556" w:rsidR="001943D8" w:rsidRDefault="001943D8" w:rsidP="0063405E">
      <w:pPr>
        <w:pStyle w:val="Prrafodelista"/>
        <w:spacing w:line="240" w:lineRule="auto"/>
        <w:ind w:left="1080"/>
        <w:jc w:val="both"/>
        <w:rPr>
          <w:rFonts w:cstheme="minorHAnsi"/>
        </w:rPr>
      </w:pPr>
      <w:r>
        <w:rPr>
          <w:rFonts w:cstheme="minorHAnsi"/>
        </w:rPr>
        <w:t>De acuerdo con lo anterior, la SDSJ, a través de la Subsecretaría de Inversiones y Fortalecimiento de las Capacidades Operativas, realizó las siguientes acciones:</w:t>
      </w:r>
    </w:p>
    <w:p w14:paraId="0A723414" w14:textId="77777777" w:rsidR="0035508B" w:rsidRDefault="0035508B" w:rsidP="0063405E">
      <w:pPr>
        <w:pStyle w:val="Prrafodelista"/>
        <w:spacing w:line="240" w:lineRule="auto"/>
        <w:ind w:left="1080"/>
        <w:jc w:val="both"/>
        <w:rPr>
          <w:rFonts w:cstheme="minorHAnsi"/>
        </w:rPr>
      </w:pPr>
    </w:p>
    <w:p w14:paraId="3E2A8079" w14:textId="3CFBF0DB" w:rsidR="001943D8" w:rsidRPr="00CD1594" w:rsidRDefault="001943D8" w:rsidP="0063405E">
      <w:pPr>
        <w:pStyle w:val="Prrafodelista"/>
        <w:numPr>
          <w:ilvl w:val="2"/>
          <w:numId w:val="15"/>
        </w:numPr>
        <w:spacing w:line="240" w:lineRule="auto"/>
        <w:jc w:val="both"/>
        <w:rPr>
          <w:rFonts w:cstheme="minorHAnsi"/>
          <w:lang w:val="es-ES"/>
        </w:rPr>
      </w:pPr>
      <w:r>
        <w:rPr>
          <w:rFonts w:cstheme="minorHAnsi"/>
        </w:rPr>
        <w:t xml:space="preserve">Casas de Justicia (fijas): Se pasó de 11 casas de justicia en 2015 a </w:t>
      </w:r>
      <w:r w:rsidRPr="001943D8">
        <w:rPr>
          <w:rFonts w:cstheme="minorHAnsi"/>
        </w:rPr>
        <w:t>13 de estos equipamientos que operan en 12 localidades</w:t>
      </w:r>
      <w:r w:rsidR="00E1345C">
        <w:rPr>
          <w:rFonts w:cstheme="minorHAnsi"/>
        </w:rPr>
        <w:t>. Las nuevas casas</w:t>
      </w:r>
      <w:r w:rsidR="00E1345C" w:rsidRPr="00E1345C">
        <w:rPr>
          <w:rFonts w:cstheme="minorHAnsi"/>
          <w:lang w:val="es-ES"/>
        </w:rPr>
        <w:t xml:space="preserve"> </w:t>
      </w:r>
      <w:r w:rsidR="00E1345C">
        <w:rPr>
          <w:rFonts w:cstheme="minorHAnsi"/>
          <w:lang w:val="es-ES"/>
        </w:rPr>
        <w:t xml:space="preserve">se instalaron </w:t>
      </w:r>
      <w:r w:rsidR="00E1345C" w:rsidRPr="00E37BAA">
        <w:rPr>
          <w:rFonts w:cstheme="minorHAnsi"/>
          <w:lang w:val="es-ES"/>
        </w:rPr>
        <w:t>en territorios de alta demanda por servicios de justicia en las localidades de Engativá y Barrios Unidos</w:t>
      </w:r>
      <w:r w:rsidR="00E1345C">
        <w:rPr>
          <w:rFonts w:cstheme="minorHAnsi"/>
          <w:lang w:val="es-ES"/>
        </w:rPr>
        <w:t xml:space="preserve"> </w:t>
      </w:r>
      <w:r w:rsidR="00E1345C" w:rsidRPr="00E37BAA">
        <w:rPr>
          <w:rFonts w:cstheme="minorHAnsi"/>
          <w:lang w:val="es-ES"/>
        </w:rPr>
        <w:t>y se reubicó</w:t>
      </w:r>
      <w:r w:rsidR="00E1345C">
        <w:rPr>
          <w:rFonts w:cstheme="minorHAnsi"/>
          <w:lang w:val="es-ES"/>
        </w:rPr>
        <w:t>,</w:t>
      </w:r>
      <w:r w:rsidR="00E1345C" w:rsidRPr="00E37BAA">
        <w:rPr>
          <w:rFonts w:cstheme="minorHAnsi"/>
          <w:lang w:val="es-ES"/>
        </w:rPr>
        <w:t xml:space="preserve"> en nuevos y mejores equipamientos</w:t>
      </w:r>
      <w:r w:rsidR="00E1345C">
        <w:rPr>
          <w:rFonts w:cstheme="minorHAnsi"/>
          <w:lang w:val="es-ES"/>
        </w:rPr>
        <w:t>,</w:t>
      </w:r>
      <w:r w:rsidR="00E1345C" w:rsidRPr="00E37BAA">
        <w:rPr>
          <w:rFonts w:cstheme="minorHAnsi"/>
          <w:lang w:val="es-ES"/>
        </w:rPr>
        <w:t xml:space="preserve"> las Casas de Justicia ya existentes de las localidades de Chapinero, Suba -Pontevedra, Suba - Ciudad Jardín y Usaquén.</w:t>
      </w:r>
      <w:r w:rsidR="00E1345C">
        <w:rPr>
          <w:rFonts w:cstheme="minorHAnsi"/>
        </w:rPr>
        <w:t xml:space="preserve"> </w:t>
      </w:r>
      <w:r w:rsidR="00E1345C" w:rsidRPr="00E1345C">
        <w:rPr>
          <w:rFonts w:cstheme="minorHAnsi"/>
          <w:lang w:val="es-ES"/>
        </w:rPr>
        <w:t xml:space="preserve">Asimismo, se han creado canales de atención no presencial como la orientación telefónica de Casas </w:t>
      </w:r>
      <w:r w:rsidR="00E1345C" w:rsidRPr="00E1345C">
        <w:rPr>
          <w:rFonts w:cstheme="minorHAnsi"/>
          <w:lang w:val="es-ES"/>
        </w:rPr>
        <w:lastRenderedPageBreak/>
        <w:t>de Justicia a través de la Línea 195, y ampliación en la oferta de servicios para la resolución pacífica de conflictos como la mediación y conciliación.</w:t>
      </w:r>
      <w:r w:rsidR="00CD1594">
        <w:rPr>
          <w:rFonts w:cstheme="minorHAnsi"/>
          <w:lang w:val="es-ES"/>
        </w:rPr>
        <w:t xml:space="preserve"> </w:t>
      </w:r>
      <w:r w:rsidR="00CD1594" w:rsidRPr="00CD1594">
        <w:rPr>
          <w:rFonts w:cstheme="minorHAnsi"/>
          <w:lang w:val="es-ES"/>
        </w:rPr>
        <w:t>Para aquellos equipamientos ya existentes y con adecuadas condiciones de infraestructura, se les realizó mantenimiento preventivo y correctivo constante para mantener los estándares necesarios para atender a los ciudadanos.</w:t>
      </w:r>
      <w:r w:rsidR="00CD1594">
        <w:rPr>
          <w:rFonts w:cstheme="minorHAnsi"/>
          <w:lang w:val="es-ES"/>
        </w:rPr>
        <w:t xml:space="preserve"> </w:t>
      </w:r>
      <w:r w:rsidR="00CD1594" w:rsidRPr="00CD1594">
        <w:rPr>
          <w:rFonts w:cstheme="minorHAnsi"/>
          <w:lang w:val="es-ES"/>
        </w:rPr>
        <w:t>Todos los equipamientos fueron dotados de nuevos equipos de cómputo, impresoras y servicio de internet y telefonía. Así mismo, se realizó la renovación del mobiliario disponible, la señalética y la dotación de elementos de comunicación.</w:t>
      </w:r>
    </w:p>
    <w:p w14:paraId="162C539E" w14:textId="77777777" w:rsidR="0035508B" w:rsidRPr="001943D8" w:rsidRDefault="0035508B" w:rsidP="0063405E">
      <w:pPr>
        <w:pStyle w:val="Prrafodelista"/>
        <w:spacing w:line="240" w:lineRule="auto"/>
        <w:ind w:left="2160"/>
        <w:jc w:val="both"/>
        <w:rPr>
          <w:rFonts w:cstheme="minorHAnsi"/>
        </w:rPr>
      </w:pPr>
    </w:p>
    <w:p w14:paraId="1AF4ABD2" w14:textId="2D9A5218" w:rsidR="00CD1594" w:rsidRPr="00CD1594" w:rsidRDefault="0035508B" w:rsidP="0063405E">
      <w:pPr>
        <w:pStyle w:val="Prrafodelista"/>
        <w:numPr>
          <w:ilvl w:val="2"/>
          <w:numId w:val="15"/>
        </w:numPr>
        <w:spacing w:line="240" w:lineRule="auto"/>
        <w:jc w:val="both"/>
        <w:rPr>
          <w:rFonts w:cstheme="minorHAnsi"/>
        </w:rPr>
      </w:pPr>
      <w:r>
        <w:rPr>
          <w:rFonts w:cstheme="minorHAnsi"/>
        </w:rPr>
        <w:t xml:space="preserve">Casas de justicia (móviles): </w:t>
      </w:r>
      <w:r w:rsidRPr="0035508B">
        <w:rPr>
          <w:rFonts w:cstheme="minorHAnsi"/>
        </w:rPr>
        <w:t>La Secretaría Distrital de Seguridad, Convivencia y Justicia implementó desde el año 2017 el modelo de Unidad Móvil de Casa de Justicia, para lo cual adquirió en comodato con la Alcaldía Local de Usme dos unidades móviles con las cuales se han realizado jornadas de “</w:t>
      </w:r>
      <w:proofErr w:type="spellStart"/>
      <w:r w:rsidRPr="0035508B">
        <w:rPr>
          <w:rFonts w:cstheme="minorHAnsi"/>
        </w:rPr>
        <w:t>denunciatón</w:t>
      </w:r>
      <w:proofErr w:type="spellEnd"/>
      <w:r w:rsidRPr="0035508B">
        <w:rPr>
          <w:rFonts w:cstheme="minorHAnsi"/>
        </w:rPr>
        <w:t>” y “Justicia al Parque” en diferentes puntos estratégicos de las localidades de Bogotá.</w:t>
      </w:r>
      <w:r>
        <w:rPr>
          <w:rFonts w:cstheme="minorHAnsi"/>
        </w:rPr>
        <w:t xml:space="preserve"> </w:t>
      </w:r>
      <w:r w:rsidRPr="0035508B">
        <w:rPr>
          <w:rFonts w:cstheme="minorHAnsi"/>
        </w:rPr>
        <w:t xml:space="preserve">Durante el primer semestre de 2018, la Secretaría reemplazó las Unidades Móviles anteriores, las cuales eran dos buses, por dos nuevas unidades móviles tipo VAN, que tienen mayor facilidad de movimiento y de ubicación en puntos alejados y de difícil acceso en la ciudad de Bogotá. Estas nuevas Unidades cubren la demanda que antes se cubría con los buses, incluso tienen mayor facilidad de ingreso a zonas inclinadas y con vías angostas, lo que permite llegar con la oferta institucional a barrios con difícil acceso. </w:t>
      </w:r>
      <w:r w:rsidR="00CD1594" w:rsidRPr="00CD1594">
        <w:rPr>
          <w:rFonts w:cstheme="minorHAnsi"/>
          <w:lang w:val="es-ES"/>
        </w:rPr>
        <w:t xml:space="preserve">Con ellas, se busca </w:t>
      </w:r>
      <w:r w:rsidR="00CD1594" w:rsidRPr="00CD1594">
        <w:rPr>
          <w:rFonts w:cstheme="minorHAnsi"/>
        </w:rPr>
        <w:t>contribuir a la superación de las barreras socioeconómicas, geográficas y culturales que dificultan el acceso a la justicia en el Distrito Capital, a través de la creación de espacios de interacción con la ciudadanía que permitan establecer un diálogo en donde los usuarios se informen, participen y reciban herramientas específicas para mejorar la seguridad, la convivencia y la justicia en los barrios de la ciudad. En virtud de lo anterior, se buscó brindar soluciones específicas a los delitos/conflictos de mayor incidencia en el territorio donde se hace presencia, generar espacios para que los ciudadanos puedan expresar sus preocupaciones, formular preguntas o inquietudes en temas de seguridad, convivencia y justicia, y realizar actividades lúdicas y pedagógicas que le permitan a los ciudadanos conocer y relacionarse mejor con la Secretaría. </w:t>
      </w:r>
    </w:p>
    <w:p w14:paraId="377048F8" w14:textId="77777777" w:rsidR="00CD1594" w:rsidRPr="00CD1594" w:rsidRDefault="00CD1594" w:rsidP="0063405E">
      <w:pPr>
        <w:pStyle w:val="Prrafodelista"/>
        <w:spacing w:line="240" w:lineRule="auto"/>
        <w:jc w:val="both"/>
        <w:rPr>
          <w:rFonts w:cstheme="minorHAnsi"/>
        </w:rPr>
      </w:pPr>
    </w:p>
    <w:p w14:paraId="128F3078" w14:textId="50C7C59B" w:rsidR="0035508B" w:rsidRPr="0035508B" w:rsidRDefault="0035508B" w:rsidP="0063405E">
      <w:pPr>
        <w:pStyle w:val="Prrafodelista"/>
        <w:spacing w:line="240" w:lineRule="auto"/>
        <w:ind w:left="2160"/>
        <w:jc w:val="both"/>
        <w:rPr>
          <w:rFonts w:cstheme="minorHAnsi"/>
        </w:rPr>
      </w:pPr>
      <w:r w:rsidRPr="0035508B">
        <w:rPr>
          <w:rFonts w:cstheme="minorHAnsi"/>
          <w:lang w:val="es-ES"/>
        </w:rPr>
        <w:t xml:space="preserve">Las Unidades están dotadas con modernos equipos tecnológicos y de comunicación que permiten la prestación de servicios de justicia de una manera ágil en aquellos puntos de la ciudad donde aún no hay equipamientos fijos de justicia o en lugares estratégicos donde los niveles de conflictividad ameritan la presencia de estas unidades. </w:t>
      </w:r>
      <w:r>
        <w:rPr>
          <w:rFonts w:cstheme="minorHAnsi"/>
          <w:lang w:val="es-ES"/>
        </w:rPr>
        <w:t xml:space="preserve">A la fecha, contamos con 6 de estos vehículos. </w:t>
      </w:r>
    </w:p>
    <w:p w14:paraId="6F79AE5C" w14:textId="77777777" w:rsidR="0035508B" w:rsidRPr="0035508B" w:rsidRDefault="0035508B" w:rsidP="0063405E">
      <w:pPr>
        <w:pStyle w:val="Prrafodelista"/>
        <w:spacing w:line="240" w:lineRule="auto"/>
        <w:ind w:left="2160"/>
        <w:jc w:val="both"/>
        <w:rPr>
          <w:rFonts w:cstheme="minorHAnsi"/>
        </w:rPr>
      </w:pPr>
    </w:p>
    <w:p w14:paraId="5F0DB2DF" w14:textId="0DF63298" w:rsidR="001943D8" w:rsidRDefault="0035508B" w:rsidP="0063405E">
      <w:pPr>
        <w:pStyle w:val="Prrafodelista"/>
        <w:numPr>
          <w:ilvl w:val="2"/>
          <w:numId w:val="15"/>
        </w:numPr>
        <w:spacing w:line="240" w:lineRule="auto"/>
        <w:jc w:val="both"/>
        <w:rPr>
          <w:rFonts w:cstheme="minorHAnsi"/>
        </w:rPr>
      </w:pPr>
      <w:r>
        <w:rPr>
          <w:rFonts w:cstheme="minorHAnsi"/>
        </w:rPr>
        <w:t xml:space="preserve">Centro Integral de Justicia (Campoverde): </w:t>
      </w:r>
      <w:r w:rsidRPr="0035508B">
        <w:rPr>
          <w:rFonts w:cstheme="minorHAnsi"/>
        </w:rPr>
        <w:t xml:space="preserve">El Centro Integral de Justicia es un complejo de equipamientos que busca integrar en un solo concepto la oferta de justicia formal, no formal y comunitaria, así como de resolución pacífica de conflictos, aplicando medios de protección regulados por la ley. El propósito es que en un solo espacio se garantice el acceso a la </w:t>
      </w:r>
      <w:r w:rsidRPr="0035508B">
        <w:rPr>
          <w:rFonts w:cstheme="minorHAnsi"/>
        </w:rPr>
        <w:lastRenderedPageBreak/>
        <w:t>administración de justicia, se promueva la convivencia ciudadana y la garantía de derechos. Este equipamiento tiene como finalidad, acercar la justicia a la ciudadanía en un mismo espacio en el que podrán converger funcionarios de las siguientes entidades: Fiscalía General de la Nación, Comisarías de Familia, ICBF, Instituto Nacional de Medicina Legal y Ciencias Forenses, Defensoría del Pueblo, Secretaría Distrital de la Mujer, Policía Nacional, CTI, SIJIN y Unidad Nacional para la Atención y Reparación Integral a las Víctimas del Conflicto Armado, entre otros.</w:t>
      </w:r>
      <w:r w:rsidR="00E1345C">
        <w:rPr>
          <w:rFonts w:cstheme="minorHAnsi"/>
        </w:rPr>
        <w:t xml:space="preserve"> </w:t>
      </w:r>
      <w:r w:rsidRPr="00E1345C">
        <w:rPr>
          <w:rFonts w:cstheme="minorHAnsi"/>
        </w:rPr>
        <w:t>Los equipamientos que componen el Centro Integral de Justicia son: Unidad de Reacción Inmediata – URI, Casa de Justicia, Centro de Traslado por Protección – CTP y Comando de Atención Inmediata – CAI</w:t>
      </w:r>
      <w:r w:rsidR="00E1345C">
        <w:rPr>
          <w:rFonts w:cstheme="minorHAnsi"/>
        </w:rPr>
        <w:t xml:space="preserve">. </w:t>
      </w:r>
    </w:p>
    <w:p w14:paraId="38FFA897" w14:textId="77777777" w:rsidR="00CD1594" w:rsidRDefault="00CD1594" w:rsidP="0063405E">
      <w:pPr>
        <w:pStyle w:val="Prrafodelista"/>
        <w:spacing w:line="240" w:lineRule="auto"/>
        <w:ind w:left="2160"/>
        <w:jc w:val="both"/>
        <w:rPr>
          <w:rFonts w:cstheme="minorHAnsi"/>
        </w:rPr>
      </w:pPr>
    </w:p>
    <w:p w14:paraId="31DA1619" w14:textId="23C61138" w:rsidR="00CD1594" w:rsidRPr="00D6548A" w:rsidRDefault="00CD1594" w:rsidP="0063405E">
      <w:pPr>
        <w:pStyle w:val="Prrafodelista"/>
        <w:spacing w:line="240" w:lineRule="auto"/>
        <w:jc w:val="both"/>
        <w:rPr>
          <w:rFonts w:cstheme="minorHAnsi"/>
        </w:rPr>
      </w:pPr>
      <w:r w:rsidRPr="00CD1594">
        <w:rPr>
          <w:rStyle w:val="eop"/>
          <w:rFonts w:cstheme="minorHAnsi"/>
        </w:rPr>
        <w:t>Finalmente, a propósito de la promulgación de la ley 1801 de 2016 del Código Nacional de Policía y Convivencia, se creó el Centro de Traslado por Protección -CTP-, constituido como un equipamiento de justicia, en el cual se implementa un modelo de atención respetuoso de los derechos humanos, con enfoque de justicia restaurativa. En su formulación se contempló la elaboración de protocolos de operación y aplicación del medio de Policía de manera conjunta entre la SDSCJ y la Policía Metropolitana de Bogotá, con el acompañamiento de la Personería de Bogotá. Hoy el CTP cuenta con 5 protocolos operativos y de administración que garantizan la gestión efectiva.</w:t>
      </w:r>
    </w:p>
    <w:p w14:paraId="01B3F56C" w14:textId="77777777" w:rsidR="00F1409C" w:rsidRPr="00F1409C" w:rsidRDefault="00F1409C" w:rsidP="0063405E">
      <w:pPr>
        <w:pStyle w:val="Prrafodelista"/>
        <w:spacing w:line="240" w:lineRule="auto"/>
        <w:ind w:left="1080"/>
        <w:jc w:val="both"/>
        <w:rPr>
          <w:rFonts w:cstheme="minorHAnsi"/>
          <w:lang w:val="es-ES"/>
        </w:rPr>
      </w:pPr>
    </w:p>
    <w:p w14:paraId="7729CA99" w14:textId="15A98627" w:rsidR="00F1409C" w:rsidRDefault="00F164F0" w:rsidP="0063405E">
      <w:pPr>
        <w:pStyle w:val="Prrafodelista"/>
        <w:numPr>
          <w:ilvl w:val="0"/>
          <w:numId w:val="3"/>
        </w:numPr>
        <w:spacing w:after="120" w:line="240" w:lineRule="auto"/>
        <w:jc w:val="both"/>
        <w:rPr>
          <w:rFonts w:cstheme="minorHAnsi"/>
          <w:lang w:val="es-ES"/>
        </w:rPr>
      </w:pPr>
      <w:r>
        <w:rPr>
          <w:rFonts w:cstheme="minorHAnsi"/>
          <w:u w:val="single"/>
          <w:lang w:val="es-ES"/>
        </w:rPr>
        <w:t>D</w:t>
      </w:r>
      <w:r w:rsidR="00D714AB" w:rsidRPr="00F1409C">
        <w:rPr>
          <w:rFonts w:cstheme="minorHAnsi"/>
          <w:u w:val="single"/>
          <w:lang w:val="es-ES"/>
        </w:rPr>
        <w:t>ebilidades del Sistema de Responsabilidad Penal Adolescente</w:t>
      </w:r>
      <w:r w:rsidR="00F1409C" w:rsidRPr="00F1409C">
        <w:rPr>
          <w:rFonts w:cstheme="minorHAnsi"/>
          <w:u w:val="single"/>
          <w:lang w:val="es-ES"/>
        </w:rPr>
        <w:t>:</w:t>
      </w:r>
      <w:r w:rsidR="00F1409C">
        <w:rPr>
          <w:rFonts w:cstheme="minorHAnsi"/>
          <w:lang w:val="es-ES"/>
        </w:rPr>
        <w:t xml:space="preserve"> E</w:t>
      </w:r>
      <w:r w:rsidR="00F1409C" w:rsidRPr="00E37BAA">
        <w:rPr>
          <w:rFonts w:cstheme="minorHAnsi"/>
          <w:lang w:val="es-ES"/>
        </w:rPr>
        <w:t xml:space="preserve">l Distrito adolecía de una estructura de articulación que respondiera a los requerimientos del Sistema Nacional de Coordinación de Responsabilidad Penal para Adolescentes establecido en el marco del Decreto 1885 de 2015 del Ministerio de Justicia y el Derecho. </w:t>
      </w:r>
      <w:r w:rsidR="00D714AB" w:rsidRPr="00E37BAA">
        <w:rPr>
          <w:rFonts w:cstheme="minorHAnsi"/>
          <w:lang w:val="es-ES"/>
        </w:rPr>
        <w:t xml:space="preserve"> </w:t>
      </w:r>
      <w:r w:rsidR="00F1409C" w:rsidRPr="00CE50A6">
        <w:rPr>
          <w:rFonts w:cstheme="minorHAnsi"/>
          <w:lang w:val="es-ES"/>
        </w:rPr>
        <w:t>Asimismo, existían significativas fallas en la prestación del sistema de educación para los adolescentes y jóvenes – AJ - que cumplían una sanción privativa de la libertad, debido a que el sistema dependía del operador del centro habilitado para tal efecto, careciendo de control y acompañamiento riguroso para garantizar la prestación del servicio y el registro en el Sistema de Matrícula Estudiantil de Educación Básica y Media (SIMAT). Ahora, con respecto al sistema de salud, no se contaba con la caracterización actualizada de los AJ que facilitará la identificación y georreferenciación para su atención integral. Adicionalmente, no se contaba con un enfoque de justicia juvenil restaurativa que atendiera las necesidades desde la perspectiva de víctima del delito y ofensor, así como la insuficiencia del enfoque de atención integral y de política de prevención y reincidencia en el delito, que hiciera transversal todos los centros de atención del SRPA (privativos y no privativos de la libertad).</w:t>
      </w:r>
    </w:p>
    <w:p w14:paraId="238C33A7" w14:textId="54A64AF5" w:rsidR="00CE50A6" w:rsidRDefault="00CE50A6" w:rsidP="0063405E">
      <w:pPr>
        <w:pStyle w:val="Prrafodelista"/>
        <w:spacing w:after="120" w:line="240" w:lineRule="auto"/>
        <w:ind w:left="1080"/>
        <w:jc w:val="both"/>
        <w:rPr>
          <w:rFonts w:cstheme="minorHAnsi"/>
          <w:u w:val="single"/>
          <w:lang w:val="es-ES"/>
        </w:rPr>
      </w:pPr>
    </w:p>
    <w:p w14:paraId="609DDEA2" w14:textId="7330C3FE" w:rsidR="00CE50A6" w:rsidRDefault="00CE50A6" w:rsidP="0063405E">
      <w:pPr>
        <w:pStyle w:val="Prrafodelista"/>
        <w:spacing w:after="0" w:line="240" w:lineRule="auto"/>
        <w:ind w:left="1080"/>
        <w:jc w:val="both"/>
        <w:rPr>
          <w:rFonts w:cstheme="minorHAnsi"/>
          <w:lang w:val="es-ES"/>
        </w:rPr>
      </w:pPr>
      <w:r>
        <w:rPr>
          <w:rFonts w:cstheme="minorHAnsi"/>
          <w:lang w:val="es-ES"/>
        </w:rPr>
        <w:t>P</w:t>
      </w:r>
      <w:r w:rsidRPr="00CE50A6">
        <w:rPr>
          <w:rFonts w:cstheme="minorHAnsi"/>
          <w:lang w:val="es-ES"/>
        </w:rPr>
        <w:t>ara el año 2017, se expidió el Decreto 420, a la luz de las directrices del Ministerio de Justicia y del Derecho, como ente coordinador a nivel nacional del SRPA (Decreto 1885 de 2015), logrando la articulación de las Entidades del Sistema, para atender la problemática asociada a la educación de los jóvenes y adolescentes en los centros privativos de la libertad.</w:t>
      </w:r>
      <w:r>
        <w:rPr>
          <w:rFonts w:cstheme="minorHAnsi"/>
          <w:lang w:val="es-ES"/>
        </w:rPr>
        <w:t xml:space="preserve"> </w:t>
      </w:r>
      <w:r w:rsidRPr="00CE50A6">
        <w:rPr>
          <w:rFonts w:cstheme="minorHAnsi"/>
          <w:lang w:val="es-ES"/>
        </w:rPr>
        <w:t>Sobre una de las debilidades del SRPA en el Distrito, con relación a los escenarios de Coordinación Institucional hacia la optimización de la atención integral de los adolescentes y jóvenes vinculados al Sistema</w:t>
      </w:r>
      <w:r>
        <w:rPr>
          <w:rFonts w:cstheme="minorHAnsi"/>
          <w:lang w:val="es-ES"/>
        </w:rPr>
        <w:t>,</w:t>
      </w:r>
      <w:r w:rsidRPr="00CE50A6">
        <w:rPr>
          <w:rFonts w:cstheme="minorHAnsi"/>
          <w:lang w:val="es-ES"/>
        </w:rPr>
        <w:t xml:space="preserve"> y a la luz de las directrices del Ministerio de Justicia y del Derecho como ente coordinador a nivel nacional del SRPA (Decreto 1885 de 2015), el Distrito expidió el Decreto 420 de 2017, con el cual se logró la articulación de las Entidades del Sistema alrededor de temas </w:t>
      </w:r>
      <w:r w:rsidRPr="00CE50A6">
        <w:rPr>
          <w:rFonts w:cstheme="minorHAnsi"/>
          <w:lang w:val="es-ES"/>
        </w:rPr>
        <w:lastRenderedPageBreak/>
        <w:t xml:space="preserve">prioritarios como educación, salud, fortalecimiento de los procesos de justicia restaurativa, así como la vinculación de otras oportunidades de atención integral con el acceso a ofertas culturales, de formación, de orientación para la generación de ingresos y </w:t>
      </w:r>
      <w:proofErr w:type="spellStart"/>
      <w:r w:rsidRPr="00CE50A6">
        <w:rPr>
          <w:rFonts w:cstheme="minorHAnsi"/>
          <w:lang w:val="es-ES"/>
        </w:rPr>
        <w:t>posegreso</w:t>
      </w:r>
      <w:proofErr w:type="spellEnd"/>
      <w:r w:rsidRPr="00CE50A6">
        <w:rPr>
          <w:rFonts w:cstheme="minorHAnsi"/>
          <w:lang w:val="es-ES"/>
        </w:rPr>
        <w:t xml:space="preserve">. </w:t>
      </w:r>
    </w:p>
    <w:p w14:paraId="7B63B212" w14:textId="77777777" w:rsidR="004156A7" w:rsidRDefault="004156A7" w:rsidP="0063405E">
      <w:pPr>
        <w:pStyle w:val="Prrafodelista"/>
        <w:spacing w:after="0" w:line="240" w:lineRule="auto"/>
        <w:rPr>
          <w:rFonts w:cs="Arial"/>
          <w:b/>
          <w:color w:val="000000" w:themeColor="text1"/>
          <w:lang w:val="es-ES"/>
        </w:rPr>
      </w:pPr>
    </w:p>
    <w:p w14:paraId="30DBCD67" w14:textId="6011959F" w:rsidR="004156A7" w:rsidRPr="004156A7" w:rsidRDefault="0063405E" w:rsidP="0063405E">
      <w:pPr>
        <w:pStyle w:val="Prrafodelista"/>
        <w:spacing w:after="0" w:line="240" w:lineRule="auto"/>
        <w:jc w:val="center"/>
        <w:rPr>
          <w:rFonts w:cstheme="minorHAnsi"/>
          <w:lang w:val="es-ES"/>
        </w:rPr>
      </w:pPr>
      <w:r w:rsidRPr="00E37BAA">
        <w:rPr>
          <w:rFonts w:cstheme="minorHAnsi"/>
          <w:noProof/>
          <w:sz w:val="18"/>
          <w:lang w:val="es-ES" w:eastAsia="es-ES"/>
        </w:rPr>
        <w:drawing>
          <wp:anchor distT="0" distB="0" distL="114300" distR="114300" simplePos="0" relativeHeight="251666432" behindDoc="0" locked="0" layoutInCell="1" allowOverlap="1" wp14:anchorId="2DA2348F" wp14:editId="6456D1AB">
            <wp:simplePos x="0" y="0"/>
            <wp:positionH relativeFrom="margin">
              <wp:align>center</wp:align>
            </wp:positionH>
            <wp:positionV relativeFrom="paragraph">
              <wp:posOffset>221696</wp:posOffset>
            </wp:positionV>
            <wp:extent cx="3549650" cy="1842770"/>
            <wp:effectExtent l="0" t="0" r="12700" b="5080"/>
            <wp:wrapTopAndBottom/>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4156A7" w:rsidRPr="004156A7">
        <w:rPr>
          <w:rFonts w:cs="Arial"/>
          <w:b/>
          <w:color w:val="000000" w:themeColor="text1"/>
          <w:lang w:val="es-ES"/>
        </w:rPr>
        <w:t xml:space="preserve">Figura # </w:t>
      </w:r>
      <w:r w:rsidR="004156A7" w:rsidRPr="004156A7">
        <w:rPr>
          <w:rFonts w:cs="Arial"/>
          <w:b/>
          <w:color w:val="000000" w:themeColor="text1"/>
          <w:lang w:val="es-ES"/>
        </w:rPr>
        <w:t>7</w:t>
      </w:r>
      <w:r w:rsidR="004156A7" w:rsidRPr="004156A7">
        <w:rPr>
          <w:rFonts w:cs="Arial"/>
          <w:b/>
          <w:color w:val="000000" w:themeColor="text1"/>
          <w:lang w:val="es-ES"/>
        </w:rPr>
        <w:t xml:space="preserve">. </w:t>
      </w:r>
      <w:r w:rsidR="004156A7" w:rsidRPr="004156A7">
        <w:rPr>
          <w:rFonts w:cstheme="minorHAnsi"/>
          <w:b/>
          <w:lang w:val="es-ES"/>
        </w:rPr>
        <w:t>Casos con cese de acción penal</w:t>
      </w:r>
    </w:p>
    <w:p w14:paraId="3EF137E3" w14:textId="43CB0F2A" w:rsidR="004156A7" w:rsidRDefault="004156A7" w:rsidP="0063405E">
      <w:pPr>
        <w:spacing w:after="0" w:line="240" w:lineRule="auto"/>
        <w:rPr>
          <w:rFonts w:cstheme="minorHAnsi"/>
          <w:b/>
          <w:sz w:val="18"/>
          <w:lang w:val="es-ES"/>
        </w:rPr>
      </w:pPr>
    </w:p>
    <w:p w14:paraId="79661902" w14:textId="3321F58B" w:rsidR="00CE50A6" w:rsidRPr="004156A7" w:rsidRDefault="00CE50A6" w:rsidP="0063405E">
      <w:pPr>
        <w:spacing w:after="0" w:line="240" w:lineRule="auto"/>
        <w:rPr>
          <w:rFonts w:cstheme="minorHAnsi"/>
          <w:b/>
          <w:sz w:val="18"/>
          <w:lang w:val="es-ES"/>
        </w:rPr>
      </w:pPr>
      <w:r w:rsidRPr="00D6548A">
        <w:rPr>
          <w:rFonts w:cstheme="minorHAnsi"/>
          <w:sz w:val="16"/>
          <w:lang w:val="es-ES"/>
        </w:rPr>
        <w:t>Fuente:</w:t>
      </w:r>
      <w:r w:rsidR="00D6548A" w:rsidRPr="00D6548A">
        <w:rPr>
          <w:rFonts w:cstheme="minorHAnsi"/>
          <w:sz w:val="16"/>
          <w:lang w:val="es-ES"/>
        </w:rPr>
        <w:t xml:space="preserve"> Secretaría Distrital de Seguridad, Convivencia y </w:t>
      </w:r>
      <w:proofErr w:type="gramStart"/>
      <w:r w:rsidR="00D6548A" w:rsidRPr="00D6548A">
        <w:rPr>
          <w:rFonts w:cstheme="minorHAnsi"/>
          <w:sz w:val="16"/>
          <w:lang w:val="es-ES"/>
        </w:rPr>
        <w:t xml:space="preserve">Justicia, </w:t>
      </w:r>
      <w:r w:rsidRPr="00D6548A">
        <w:rPr>
          <w:rFonts w:cstheme="minorHAnsi"/>
          <w:sz w:val="16"/>
          <w:lang w:val="es-ES"/>
        </w:rPr>
        <w:t xml:space="preserve"> Dirección</w:t>
      </w:r>
      <w:proofErr w:type="gramEnd"/>
      <w:r w:rsidRPr="00D6548A">
        <w:rPr>
          <w:rFonts w:cstheme="minorHAnsi"/>
          <w:sz w:val="16"/>
          <w:lang w:val="es-ES"/>
        </w:rPr>
        <w:t xml:space="preserve"> de Responsabilidad Penal Adolescente (2019)</w:t>
      </w:r>
    </w:p>
    <w:p w14:paraId="2B34E118" w14:textId="77777777" w:rsidR="00D6548A" w:rsidRDefault="00D6548A" w:rsidP="0063405E">
      <w:pPr>
        <w:pStyle w:val="Prrafodelista"/>
        <w:spacing w:after="120" w:line="240" w:lineRule="auto"/>
        <w:ind w:left="1080"/>
        <w:jc w:val="both"/>
        <w:rPr>
          <w:rFonts w:cstheme="minorHAnsi"/>
          <w:lang w:val="es-ES"/>
        </w:rPr>
      </w:pPr>
    </w:p>
    <w:p w14:paraId="211AF474" w14:textId="5756778B" w:rsidR="00CE50A6" w:rsidRPr="00CE50A6" w:rsidRDefault="00CE50A6" w:rsidP="0063405E">
      <w:pPr>
        <w:pStyle w:val="Prrafodelista"/>
        <w:spacing w:after="120" w:line="240" w:lineRule="auto"/>
        <w:ind w:left="1080"/>
        <w:jc w:val="both"/>
        <w:rPr>
          <w:rFonts w:cstheme="minorHAnsi"/>
          <w:lang w:val="es-ES"/>
        </w:rPr>
      </w:pPr>
      <w:r>
        <w:rPr>
          <w:rFonts w:cstheme="minorHAnsi"/>
          <w:lang w:val="es-ES"/>
        </w:rPr>
        <w:t>Adicionalmente, l</w:t>
      </w:r>
      <w:r w:rsidRPr="00CE50A6">
        <w:rPr>
          <w:rFonts w:cstheme="minorHAnsi"/>
          <w:lang w:val="es-ES"/>
        </w:rPr>
        <w:t>a Secretaría Distrital de Seguridad, Convivencia y Justicia, diseñó e implementó el Programa Distrital de Justicia Juvenil Restaurativa, el cual, en articulación con la Fiscalía General de la Nación, la Rama Judicial, la Defensoría del Pueblo y el ICBF, ha logrado reducir la reincidencia en el delito de la población atendida en el 6%, constituyéndose como referente Nacional e Internacional para la implementación de Justicia Juvenil Restaurativa, siendo seleccionado por la Agencia Presidencial de Cooperación Internacional como experiencia para exportar.</w:t>
      </w:r>
    </w:p>
    <w:p w14:paraId="0A96892D" w14:textId="757A6BD4" w:rsidR="00CE50A6" w:rsidRDefault="00CE50A6" w:rsidP="0063405E">
      <w:pPr>
        <w:pStyle w:val="Prrafodelista"/>
        <w:spacing w:after="120" w:line="240" w:lineRule="auto"/>
        <w:ind w:left="1080"/>
        <w:jc w:val="both"/>
        <w:rPr>
          <w:rFonts w:cstheme="minorHAnsi"/>
          <w:lang w:val="es-ES"/>
        </w:rPr>
      </w:pPr>
    </w:p>
    <w:p w14:paraId="748793A8" w14:textId="103886C0" w:rsidR="0063405E" w:rsidRDefault="0063405E" w:rsidP="0063405E">
      <w:pPr>
        <w:pStyle w:val="Prrafodelista"/>
        <w:spacing w:after="120" w:line="240" w:lineRule="auto"/>
        <w:ind w:left="1080"/>
        <w:jc w:val="both"/>
        <w:rPr>
          <w:rFonts w:cstheme="minorHAnsi"/>
          <w:lang w:val="es-ES"/>
        </w:rPr>
      </w:pPr>
    </w:p>
    <w:p w14:paraId="63962AD2" w14:textId="12F5A78A" w:rsidR="0063405E" w:rsidRDefault="0063405E" w:rsidP="0063405E">
      <w:pPr>
        <w:pStyle w:val="Prrafodelista"/>
        <w:spacing w:after="120" w:line="240" w:lineRule="auto"/>
        <w:ind w:left="1080"/>
        <w:jc w:val="both"/>
        <w:rPr>
          <w:rFonts w:cstheme="minorHAnsi"/>
          <w:lang w:val="es-ES"/>
        </w:rPr>
      </w:pPr>
    </w:p>
    <w:p w14:paraId="75290629" w14:textId="41DE5977" w:rsidR="0063405E" w:rsidRDefault="0063405E" w:rsidP="0063405E">
      <w:pPr>
        <w:pStyle w:val="Prrafodelista"/>
        <w:spacing w:after="120" w:line="240" w:lineRule="auto"/>
        <w:ind w:left="1080"/>
        <w:jc w:val="both"/>
        <w:rPr>
          <w:rFonts w:cstheme="minorHAnsi"/>
          <w:lang w:val="es-ES"/>
        </w:rPr>
      </w:pPr>
    </w:p>
    <w:p w14:paraId="0A1B0CC4" w14:textId="4AC56935" w:rsidR="0063405E" w:rsidRDefault="0063405E" w:rsidP="0063405E">
      <w:pPr>
        <w:pStyle w:val="Prrafodelista"/>
        <w:spacing w:after="120" w:line="240" w:lineRule="auto"/>
        <w:ind w:left="1080"/>
        <w:jc w:val="both"/>
        <w:rPr>
          <w:rFonts w:cstheme="minorHAnsi"/>
          <w:lang w:val="es-ES"/>
        </w:rPr>
      </w:pPr>
    </w:p>
    <w:p w14:paraId="12620454" w14:textId="554CB779" w:rsidR="0063405E" w:rsidRDefault="0063405E" w:rsidP="0063405E">
      <w:pPr>
        <w:pStyle w:val="Prrafodelista"/>
        <w:spacing w:after="120" w:line="240" w:lineRule="auto"/>
        <w:ind w:left="1080"/>
        <w:jc w:val="both"/>
        <w:rPr>
          <w:rFonts w:cstheme="minorHAnsi"/>
          <w:lang w:val="es-ES"/>
        </w:rPr>
      </w:pPr>
    </w:p>
    <w:p w14:paraId="7B277631" w14:textId="77777777" w:rsidR="0063405E" w:rsidRDefault="0063405E" w:rsidP="0063405E">
      <w:pPr>
        <w:pStyle w:val="Prrafodelista"/>
        <w:spacing w:after="120" w:line="240" w:lineRule="auto"/>
        <w:ind w:left="1080"/>
        <w:jc w:val="both"/>
        <w:rPr>
          <w:rFonts w:cstheme="minorHAnsi"/>
          <w:lang w:val="es-ES"/>
        </w:rPr>
      </w:pPr>
    </w:p>
    <w:p w14:paraId="21A983F8" w14:textId="32579D3E" w:rsidR="00CE50A6" w:rsidRPr="004156A7" w:rsidRDefault="004156A7" w:rsidP="0063405E">
      <w:pPr>
        <w:spacing w:line="240" w:lineRule="auto"/>
        <w:jc w:val="center"/>
        <w:rPr>
          <w:rFonts w:cstheme="minorHAnsi"/>
          <w:b/>
          <w:lang w:val="es-ES"/>
        </w:rPr>
      </w:pPr>
      <w:r w:rsidRPr="004156A7">
        <w:rPr>
          <w:rFonts w:cs="Arial"/>
          <w:b/>
          <w:color w:val="000000" w:themeColor="text1"/>
          <w:lang w:val="es-ES"/>
        </w:rPr>
        <w:t xml:space="preserve">Figura # </w:t>
      </w:r>
      <w:r w:rsidRPr="004156A7">
        <w:rPr>
          <w:rFonts w:cs="Arial"/>
          <w:b/>
          <w:color w:val="000000" w:themeColor="text1"/>
          <w:lang w:val="es-ES"/>
        </w:rPr>
        <w:t>8</w:t>
      </w:r>
      <w:r w:rsidRPr="004156A7">
        <w:rPr>
          <w:rFonts w:cs="Arial"/>
          <w:b/>
          <w:color w:val="000000" w:themeColor="text1"/>
          <w:lang w:val="es-ES"/>
        </w:rPr>
        <w:t xml:space="preserve">. </w:t>
      </w:r>
      <w:r w:rsidR="00CE50A6" w:rsidRPr="004156A7">
        <w:rPr>
          <w:rFonts w:cstheme="minorHAnsi"/>
          <w:b/>
          <w:lang w:val="es-ES"/>
        </w:rPr>
        <w:t>Número de noticias criminales</w:t>
      </w:r>
    </w:p>
    <w:p w14:paraId="7F387311" w14:textId="77777777" w:rsidR="00CE50A6" w:rsidRPr="00E37BAA" w:rsidRDefault="00CE50A6" w:rsidP="0063405E">
      <w:pPr>
        <w:spacing w:line="240" w:lineRule="auto"/>
        <w:jc w:val="center"/>
        <w:rPr>
          <w:rFonts w:cstheme="minorHAnsi"/>
          <w:sz w:val="18"/>
          <w:lang w:val="es-ES"/>
        </w:rPr>
      </w:pPr>
      <w:r w:rsidRPr="00E37BAA">
        <w:rPr>
          <w:rFonts w:cstheme="minorHAnsi"/>
          <w:noProof/>
          <w:sz w:val="18"/>
          <w:lang w:val="es-ES" w:eastAsia="es-ES"/>
        </w:rPr>
        <w:drawing>
          <wp:inline distT="0" distB="0" distL="0" distR="0" wp14:anchorId="1CA597D9" wp14:editId="351F5FB8">
            <wp:extent cx="2520795" cy="198930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4178" b="9709"/>
                    <a:stretch/>
                  </pic:blipFill>
                  <pic:spPr bwMode="auto">
                    <a:xfrm>
                      <a:off x="0" y="0"/>
                      <a:ext cx="2556107" cy="2017173"/>
                    </a:xfrm>
                    <a:prstGeom prst="rect">
                      <a:avLst/>
                    </a:prstGeom>
                    <a:ln>
                      <a:noFill/>
                    </a:ln>
                    <a:extLst>
                      <a:ext uri="{53640926-AAD7-44D8-BBD7-CCE9431645EC}">
                        <a14:shadowObscured xmlns:a14="http://schemas.microsoft.com/office/drawing/2010/main"/>
                      </a:ext>
                    </a:extLst>
                  </pic:spPr>
                </pic:pic>
              </a:graphicData>
            </a:graphic>
          </wp:inline>
        </w:drawing>
      </w:r>
    </w:p>
    <w:p w14:paraId="33A3594C" w14:textId="77777777" w:rsidR="00CE50A6" w:rsidRPr="004156A7" w:rsidRDefault="00CE50A6" w:rsidP="0063405E">
      <w:pPr>
        <w:spacing w:line="240" w:lineRule="auto"/>
        <w:jc w:val="center"/>
        <w:rPr>
          <w:rFonts w:cstheme="minorHAnsi"/>
          <w:sz w:val="16"/>
          <w:lang w:val="es-ES"/>
        </w:rPr>
      </w:pPr>
      <w:r w:rsidRPr="004156A7">
        <w:rPr>
          <w:rFonts w:cstheme="minorHAnsi"/>
          <w:sz w:val="16"/>
          <w:lang w:val="es-ES"/>
        </w:rPr>
        <w:lastRenderedPageBreak/>
        <w:t>Fuente: Tomado de Fiscalía General de la Nación. Respuesta Proposición 042 de 2018</w:t>
      </w:r>
    </w:p>
    <w:p w14:paraId="6C2D51D7" w14:textId="77777777" w:rsidR="00CE50A6" w:rsidRPr="004156A7" w:rsidRDefault="00CE50A6" w:rsidP="0063405E">
      <w:pPr>
        <w:pStyle w:val="Prrafodelista"/>
        <w:spacing w:after="120" w:line="240" w:lineRule="auto"/>
        <w:ind w:left="1080"/>
        <w:jc w:val="both"/>
        <w:rPr>
          <w:rFonts w:cstheme="minorHAnsi"/>
          <w:sz w:val="20"/>
          <w:lang w:val="es-ES"/>
        </w:rPr>
      </w:pPr>
    </w:p>
    <w:p w14:paraId="766D049C" w14:textId="1D63FC6B" w:rsidR="00CE50A6" w:rsidRDefault="00CE50A6" w:rsidP="0063405E">
      <w:pPr>
        <w:pStyle w:val="Prrafodelista"/>
        <w:spacing w:after="120" w:line="240" w:lineRule="auto"/>
        <w:ind w:left="1080"/>
        <w:jc w:val="both"/>
        <w:rPr>
          <w:rFonts w:cstheme="minorHAnsi"/>
          <w:lang w:val="es-ES"/>
        </w:rPr>
      </w:pPr>
      <w:r w:rsidRPr="00CE50A6">
        <w:rPr>
          <w:rFonts w:cstheme="minorHAnsi"/>
          <w:lang w:val="es-ES"/>
        </w:rPr>
        <w:t xml:space="preserve">Asimismo, de la mano de la Dirección de Prevención y Cultura Ciudadana, se diseñó el programa de atención de manejo de habilidades socio emocionales, “Cuenta Hasta 10”, a través del cual se busca </w:t>
      </w:r>
      <w:r w:rsidRPr="00CE50A6">
        <w:rPr>
          <w:rFonts w:cstheme="minorHAnsi"/>
        </w:rPr>
        <w:t>prevenir la participación de los adolescentes y jóvenes</w:t>
      </w:r>
      <w:r w:rsidRPr="00CE50A6">
        <w:rPr>
          <w:rFonts w:cstheme="minorHAnsi"/>
          <w:vertAlign w:val="superscript"/>
        </w:rPr>
        <w:footnoteReference w:id="6"/>
      </w:r>
      <w:r w:rsidRPr="00CE50A6">
        <w:rPr>
          <w:rFonts w:cstheme="minorHAnsi"/>
        </w:rPr>
        <w:t xml:space="preserve">,  en conductas violentas y delictivas, con el fortalecimiento de habilidades emocionales, cognitivas y conductuales. Este programa está siendo implementado en todos los centros de atención del Sistema de Responsabilidad Penal para Adolescentes en la ciudad de Bogotá; y ha obtenido como resultados </w:t>
      </w:r>
      <w:r w:rsidRPr="00CE50A6">
        <w:rPr>
          <w:rFonts w:cstheme="minorHAnsi"/>
          <w:lang w:val="es-ES"/>
        </w:rPr>
        <w:t xml:space="preserve">el mayor </w:t>
      </w:r>
      <w:r w:rsidRPr="00CE50A6">
        <w:rPr>
          <w:rFonts w:cstheme="minorHAnsi"/>
          <w:bCs/>
          <w:lang w:val="es-ES"/>
        </w:rPr>
        <w:t xml:space="preserve">compromiso </w:t>
      </w:r>
      <w:r w:rsidRPr="00CE50A6">
        <w:rPr>
          <w:rFonts w:cstheme="minorHAnsi"/>
          <w:lang w:val="es-ES"/>
        </w:rPr>
        <w:t xml:space="preserve">de los jóvenes </w:t>
      </w:r>
      <w:r w:rsidRPr="00CE50A6">
        <w:rPr>
          <w:rFonts w:cstheme="minorHAnsi"/>
          <w:bCs/>
          <w:lang w:val="es-ES"/>
        </w:rPr>
        <w:t xml:space="preserve">en su proceso educativo y proyecto de vida. </w:t>
      </w:r>
      <w:r w:rsidRPr="00CE50A6">
        <w:rPr>
          <w:rFonts w:cstheme="minorHAnsi"/>
          <w:lang w:val="es-ES"/>
        </w:rPr>
        <w:t xml:space="preserve">El fortalecimiento al SRPA, se ve reflejado en la reducción de la vinculación de adolescentes al delito, en un </w:t>
      </w:r>
      <w:r w:rsidRPr="00CE50A6">
        <w:rPr>
          <w:rFonts w:cstheme="minorHAnsi"/>
          <w:b/>
          <w:lang w:val="es-ES"/>
        </w:rPr>
        <w:t>32%</w:t>
      </w:r>
      <w:r w:rsidRPr="00CE50A6">
        <w:rPr>
          <w:rFonts w:cstheme="minorHAnsi"/>
          <w:lang w:val="es-ES"/>
        </w:rPr>
        <w:t>. (fuente de Información Fiscalía General de la Nación)</w:t>
      </w:r>
      <w:r>
        <w:rPr>
          <w:rFonts w:cstheme="minorHAnsi"/>
          <w:lang w:val="es-ES"/>
        </w:rPr>
        <w:t>.</w:t>
      </w:r>
    </w:p>
    <w:p w14:paraId="1FD768A5" w14:textId="77777777" w:rsidR="00CE50A6" w:rsidRPr="00CE50A6" w:rsidRDefault="00CE50A6" w:rsidP="0063405E">
      <w:pPr>
        <w:pStyle w:val="Prrafodelista"/>
        <w:spacing w:after="120" w:line="240" w:lineRule="auto"/>
        <w:ind w:left="1080"/>
        <w:jc w:val="both"/>
        <w:rPr>
          <w:rFonts w:cstheme="minorHAnsi"/>
          <w:lang w:val="es-ES"/>
        </w:rPr>
      </w:pPr>
    </w:p>
    <w:p w14:paraId="4F56C5E3" w14:textId="77777777" w:rsidR="00CE50A6" w:rsidRPr="00CE50A6" w:rsidRDefault="00CE50A6" w:rsidP="0063405E">
      <w:pPr>
        <w:pStyle w:val="Prrafodelista"/>
        <w:spacing w:after="120" w:line="240" w:lineRule="auto"/>
        <w:ind w:left="1080"/>
        <w:jc w:val="both"/>
        <w:rPr>
          <w:rFonts w:cstheme="minorHAnsi"/>
          <w:lang w:val="es-ES"/>
        </w:rPr>
      </w:pPr>
      <w:r w:rsidRPr="00CE50A6">
        <w:rPr>
          <w:rFonts w:cstheme="minorHAnsi"/>
          <w:lang w:val="es-ES"/>
        </w:rPr>
        <w:t>Por su parte, la Secretaría de Educación Distrital, en el marco del Decreto 2383 de 2015, asumió la competencia de garantizar la educación básica y media para toda la población vinculada al SRPA, prestando el servicio educativo en la totalidad de los centros de manera gratuita y diferencial, con registro en el SIMAT, igualmente, con respecto a la problemática identificada frente al acceso a salud de jóvenes y adolescentes del SRPA, la Secretaría Distrital de Salud avanzo en la consolidación del Registro Censal emitido por Instituto Colombiano de Bienestar Familiar -ICBF- para dicha población, que la caracteriza como especial y ofreciéndoles atención diferenciada de acuerdo a su situación.</w:t>
      </w:r>
    </w:p>
    <w:p w14:paraId="68EBA545" w14:textId="1727126D" w:rsidR="00D714AB" w:rsidRPr="00E37BAA" w:rsidRDefault="00D714AB" w:rsidP="0063405E">
      <w:pPr>
        <w:pStyle w:val="Prrafodelista"/>
        <w:spacing w:after="120" w:line="240" w:lineRule="auto"/>
        <w:ind w:left="1080"/>
        <w:jc w:val="both"/>
        <w:rPr>
          <w:rFonts w:cstheme="minorHAnsi"/>
          <w:lang w:val="es-ES"/>
        </w:rPr>
      </w:pPr>
    </w:p>
    <w:p w14:paraId="59087365" w14:textId="689DB2F0" w:rsidR="00D714AB" w:rsidRPr="00F1409C" w:rsidRDefault="00F164F0" w:rsidP="0063405E">
      <w:pPr>
        <w:pStyle w:val="Prrafodelista"/>
        <w:numPr>
          <w:ilvl w:val="0"/>
          <w:numId w:val="3"/>
        </w:numPr>
        <w:spacing w:after="120" w:line="240" w:lineRule="auto"/>
        <w:jc w:val="both"/>
        <w:rPr>
          <w:rFonts w:cstheme="minorHAnsi"/>
          <w:lang w:val="es-ES"/>
        </w:rPr>
      </w:pPr>
      <w:r>
        <w:rPr>
          <w:rFonts w:cstheme="minorHAnsi"/>
          <w:u w:val="single"/>
          <w:lang w:val="es-ES"/>
        </w:rPr>
        <w:t>P</w:t>
      </w:r>
      <w:r w:rsidR="00D714AB" w:rsidRPr="00F1409C">
        <w:rPr>
          <w:rFonts w:cstheme="minorHAnsi"/>
          <w:u w:val="single"/>
          <w:lang w:val="es-ES"/>
        </w:rPr>
        <w:t>roblemáticas asociadas a la Cárcel Distrital de Varones y el Anexo de Mujeres</w:t>
      </w:r>
      <w:r w:rsidR="00F1409C" w:rsidRPr="00F1409C">
        <w:rPr>
          <w:rFonts w:cstheme="minorHAnsi"/>
          <w:u w:val="single"/>
          <w:lang w:val="es-ES"/>
        </w:rPr>
        <w:t>:</w:t>
      </w:r>
      <w:r w:rsidR="00F1409C">
        <w:rPr>
          <w:rFonts w:cstheme="minorHAnsi"/>
          <w:lang w:val="es-ES"/>
        </w:rPr>
        <w:t xml:space="preserve"> E</w:t>
      </w:r>
      <w:r w:rsidR="00D714AB" w:rsidRPr="00F1409C">
        <w:rPr>
          <w:rFonts w:cstheme="minorHAnsi"/>
          <w:lang w:val="es-ES"/>
        </w:rPr>
        <w:t>s importante señalar que la población sindicada con arraigo procesal es responsabilidad de los entes territoriales, por lo cual Bogotá cuenta con La Cárcel Distrital de Varones y Anexo de Mujeres, a pesar de ser una de las pocas ciudades que cuenta con una Cárcel propia con buenas especificaciones, en ésta no se estaba llevando a cabo una administración bajo un proceso estandarizado, lo cual generaba una inefectiva utilización del recurso y una ineficiente utilización de la totalidad de la capacidad de los cupos con los que cuenta.</w:t>
      </w:r>
    </w:p>
    <w:p w14:paraId="7B308504" w14:textId="18E72C11" w:rsidR="00D714AB" w:rsidRPr="00E37BAA" w:rsidRDefault="00D714AB" w:rsidP="0063405E">
      <w:pPr>
        <w:spacing w:after="120" w:line="240" w:lineRule="auto"/>
        <w:ind w:left="1068"/>
        <w:jc w:val="both"/>
        <w:rPr>
          <w:rFonts w:cstheme="minorHAnsi"/>
          <w:lang w:val="es-ES"/>
        </w:rPr>
      </w:pPr>
      <w:r w:rsidRPr="00E37BAA">
        <w:rPr>
          <w:rFonts w:cstheme="minorHAnsi"/>
          <w:lang w:val="es-ES"/>
        </w:rPr>
        <w:t>Con el ánimo de maximizar la eficiencia en la operación de la Cárcel Distrital, la SDSCJ actualizó el mantenimiento del equipamiento para poder utilizar el 100% de los cupos disponibles para privados de la libertad, tales como el mantenimiento y ajustes al sistema hidráulico y eléctrico, instalación y mantenimiento de cámaras de vigilancia, mejoramiento de los servicios de rancho y renovación de los equipos propios de la Cárcel.</w:t>
      </w:r>
    </w:p>
    <w:p w14:paraId="0F6BF034" w14:textId="77777777" w:rsidR="00D714AB" w:rsidRPr="00E37BAA" w:rsidRDefault="00D714AB" w:rsidP="0063405E">
      <w:pPr>
        <w:spacing w:after="120" w:line="240" w:lineRule="auto"/>
        <w:ind w:left="1068"/>
        <w:jc w:val="both"/>
        <w:rPr>
          <w:rFonts w:cstheme="minorHAnsi"/>
          <w:lang w:val="es-ES"/>
        </w:rPr>
      </w:pPr>
      <w:r w:rsidRPr="00E37BAA">
        <w:rPr>
          <w:rFonts w:cstheme="minorHAnsi"/>
          <w:lang w:val="es-ES"/>
        </w:rPr>
        <w:t>Así mismo, se estandarizó la operación bajo los estándares de la Asociación Americana de Correccionales – ACA por sus siglas en inglés – logrando así la acreditación por parte de la entidad, la cual certifica una operación penitenciaria bajo altos estándares de calidad y respecto por los derechos humanos. Con esta tarea se garantizó una operación adecuada y moderna de la Cárcel.</w:t>
      </w:r>
    </w:p>
    <w:p w14:paraId="3AEAB735" w14:textId="77777777" w:rsidR="00D714AB" w:rsidRPr="00E37BAA" w:rsidRDefault="00D714AB" w:rsidP="0063405E">
      <w:pPr>
        <w:spacing w:after="120" w:line="240" w:lineRule="auto"/>
        <w:ind w:left="1068"/>
        <w:jc w:val="both"/>
        <w:rPr>
          <w:rFonts w:cstheme="minorHAnsi"/>
          <w:lang w:val="es-ES"/>
        </w:rPr>
      </w:pPr>
      <w:r w:rsidRPr="00E37BAA">
        <w:rPr>
          <w:rFonts w:cstheme="minorHAnsi"/>
          <w:lang w:val="es-ES"/>
        </w:rPr>
        <w:t xml:space="preserve">Con estas intervenciones, fue posible aumentar la capacidad real de atención de sindicados, se mejoraron los programas de resocialización (con el apoyo de otras </w:t>
      </w:r>
      <w:r w:rsidRPr="00E37BAA">
        <w:rPr>
          <w:rFonts w:cstheme="minorHAnsi"/>
          <w:lang w:val="es-ES"/>
        </w:rPr>
        <w:lastRenderedPageBreak/>
        <w:t>entidades Distritales, tales como IDARTES, Biblored, y la Secretaria de Educación Distrital) mitigando así el problema de hacinamiento en la ciudad.</w:t>
      </w:r>
    </w:p>
    <w:p w14:paraId="7379E18A" w14:textId="5EA067BB" w:rsidR="008852B9" w:rsidRPr="008852B9" w:rsidRDefault="00D714AB" w:rsidP="0063405E">
      <w:pPr>
        <w:spacing w:after="120" w:line="240" w:lineRule="auto"/>
        <w:jc w:val="both"/>
        <w:rPr>
          <w:rFonts w:cstheme="minorHAnsi"/>
          <w:lang w:val="es-ES"/>
        </w:rPr>
      </w:pPr>
      <w:r w:rsidRPr="00E37BAA">
        <w:rPr>
          <w:rFonts w:cstheme="minorHAnsi"/>
          <w:lang w:val="es-ES"/>
        </w:rPr>
        <w:t>Con base en lo anterior, hoy el Distrito Capital cuenta con un Sistema Integral de Justicia, el cual tiene el reto de mantenerse y consolidarse para continuar prestando un servicio de calidad a la ciudadanía.</w:t>
      </w:r>
    </w:p>
    <w:p w14:paraId="06DC6731" w14:textId="5A52EE90" w:rsidR="008C2842" w:rsidRPr="008852B9" w:rsidRDefault="00D714AB" w:rsidP="0063405E">
      <w:pPr>
        <w:pStyle w:val="Prrafodelista"/>
        <w:numPr>
          <w:ilvl w:val="0"/>
          <w:numId w:val="2"/>
        </w:numPr>
        <w:spacing w:after="120" w:line="240" w:lineRule="auto"/>
        <w:jc w:val="both"/>
        <w:rPr>
          <w:rFonts w:cstheme="minorHAnsi"/>
          <w:lang w:val="es-ES"/>
        </w:rPr>
      </w:pPr>
      <w:r w:rsidRPr="008C2842">
        <w:rPr>
          <w:rFonts w:cstheme="minorHAnsi"/>
          <w:b/>
        </w:rPr>
        <w:t xml:space="preserve">Causas de la persistencia </w:t>
      </w:r>
      <w:r w:rsidR="001C74EE">
        <w:rPr>
          <w:rFonts w:cstheme="minorHAnsi"/>
          <w:b/>
        </w:rPr>
        <w:t>del problema</w:t>
      </w:r>
    </w:p>
    <w:p w14:paraId="3A96F1DD" w14:textId="77777777" w:rsidR="008852B9" w:rsidRPr="008C2842" w:rsidRDefault="008852B9" w:rsidP="0063405E">
      <w:pPr>
        <w:pStyle w:val="Prrafodelista"/>
        <w:spacing w:after="120" w:line="240" w:lineRule="auto"/>
        <w:jc w:val="both"/>
        <w:rPr>
          <w:rFonts w:cstheme="minorHAnsi"/>
          <w:lang w:val="es-ES"/>
        </w:rPr>
      </w:pPr>
    </w:p>
    <w:p w14:paraId="16075C53" w14:textId="410C03AD" w:rsidR="008852B9" w:rsidRPr="008852B9" w:rsidRDefault="008852B9" w:rsidP="0063405E">
      <w:pPr>
        <w:pStyle w:val="Prrafodelista"/>
        <w:numPr>
          <w:ilvl w:val="0"/>
          <w:numId w:val="26"/>
        </w:numPr>
        <w:spacing w:after="120" w:line="240" w:lineRule="auto"/>
        <w:jc w:val="both"/>
        <w:rPr>
          <w:rFonts w:cstheme="minorHAnsi"/>
          <w:b/>
          <w:u w:val="single"/>
          <w:lang w:val="es-ES"/>
        </w:rPr>
      </w:pPr>
      <w:r w:rsidRPr="008852B9">
        <w:rPr>
          <w:rFonts w:cstheme="minorHAnsi"/>
          <w:u w:val="single"/>
          <w:lang w:val="es-ES"/>
        </w:rPr>
        <w:t xml:space="preserve">Baja articulación de los operadores de justicia: </w:t>
      </w:r>
    </w:p>
    <w:p w14:paraId="5A5FDF57" w14:textId="2535A4FE" w:rsidR="00D714AB" w:rsidRPr="008852B9" w:rsidRDefault="00D714AB" w:rsidP="0063405E">
      <w:pPr>
        <w:pStyle w:val="Prrafodelista"/>
        <w:numPr>
          <w:ilvl w:val="1"/>
          <w:numId w:val="15"/>
        </w:numPr>
        <w:spacing w:after="120" w:line="240" w:lineRule="auto"/>
        <w:jc w:val="both"/>
        <w:rPr>
          <w:rFonts w:cstheme="minorHAnsi"/>
          <w:b/>
          <w:lang w:val="es-ES"/>
        </w:rPr>
      </w:pPr>
      <w:r w:rsidRPr="008852B9">
        <w:rPr>
          <w:rFonts w:cstheme="minorHAnsi"/>
          <w:lang w:val="es-ES"/>
        </w:rPr>
        <w:t>La ausencia de un sistema integrado de información que permita la interoperabilidad de los sistemas de información entre las entidades que componen el Sistema Distrital de Justicia</w:t>
      </w:r>
      <w:r w:rsidR="008852B9" w:rsidRPr="008852B9">
        <w:rPr>
          <w:rFonts w:cstheme="minorHAnsi"/>
          <w:lang w:val="es-ES"/>
        </w:rPr>
        <w:t>.</w:t>
      </w:r>
      <w:r w:rsidRPr="008C2842">
        <w:rPr>
          <w:rFonts w:cstheme="minorHAnsi"/>
          <w:b/>
          <w:lang w:val="es-ES"/>
        </w:rPr>
        <w:t xml:space="preserve"> </w:t>
      </w:r>
      <w:r w:rsidRPr="008852B9">
        <w:rPr>
          <w:rFonts w:cstheme="minorHAnsi"/>
          <w:lang w:val="es-ES"/>
        </w:rPr>
        <w:t>Lo anterior, debido en gran parte a la renuencia de algunas entidades, lo cual conlleva a dificultades en la consolidación de políticas públicas y toma de decisiones basadas en información.</w:t>
      </w:r>
    </w:p>
    <w:p w14:paraId="6DA9C0D6" w14:textId="0C686DF5" w:rsidR="00D714AB" w:rsidRPr="008852B9" w:rsidRDefault="00D714AB" w:rsidP="0063405E">
      <w:pPr>
        <w:pStyle w:val="Prrafodelista"/>
        <w:numPr>
          <w:ilvl w:val="1"/>
          <w:numId w:val="15"/>
        </w:numPr>
        <w:spacing w:after="120" w:line="240" w:lineRule="auto"/>
        <w:jc w:val="both"/>
        <w:rPr>
          <w:rFonts w:cstheme="minorHAnsi"/>
          <w:b/>
          <w:i/>
          <w:lang w:val="es-ES"/>
        </w:rPr>
      </w:pPr>
      <w:r w:rsidRPr="008852B9">
        <w:rPr>
          <w:rFonts w:cstheme="minorHAnsi"/>
          <w:lang w:val="es-ES"/>
        </w:rPr>
        <w:t>La desconfianza que existe entre los operadores de justicia formal y no formal frente a los actores de justicia comunitaria</w:t>
      </w:r>
      <w:r w:rsidR="008852B9">
        <w:rPr>
          <w:rFonts w:cstheme="minorHAnsi"/>
          <w:lang w:val="es-ES"/>
        </w:rPr>
        <w:t>.</w:t>
      </w:r>
      <w:r w:rsidR="008852B9" w:rsidRPr="008852B9">
        <w:rPr>
          <w:rFonts w:cstheme="minorHAnsi"/>
          <w:lang w:val="es-ES"/>
        </w:rPr>
        <w:t xml:space="preserve"> </w:t>
      </w:r>
      <w:r w:rsidRPr="008852B9">
        <w:rPr>
          <w:rFonts w:cstheme="minorHAnsi"/>
          <w:lang w:val="es-ES"/>
        </w:rPr>
        <w:t>Si bien la justicia comunitaria ha demostrado ser un mecanismo que facilita el acceso a la justicia a los ciudadanos y que ofrecen solución efectiva a problemas de convivencia y familiares (en su mayoría) persiste desconfianza por parte de los actores de justicia formal y no formal, debido, en gran parte, a diferencias en los lineamientos procedimentales y disciplinarios que los cobijan, así como a barreras técnicas, y tecnológicas.</w:t>
      </w:r>
    </w:p>
    <w:p w14:paraId="55C25DD1" w14:textId="7102C9CD" w:rsidR="00D714AB" w:rsidRPr="008852B9" w:rsidRDefault="00D714AB" w:rsidP="0063405E">
      <w:pPr>
        <w:pStyle w:val="Prrafodelista"/>
        <w:numPr>
          <w:ilvl w:val="1"/>
          <w:numId w:val="15"/>
        </w:numPr>
        <w:spacing w:after="120" w:line="240" w:lineRule="auto"/>
        <w:jc w:val="both"/>
        <w:rPr>
          <w:rFonts w:cstheme="minorHAnsi"/>
          <w:b/>
          <w:i/>
          <w:lang w:val="es-ES"/>
        </w:rPr>
      </w:pPr>
      <w:r w:rsidRPr="008852B9">
        <w:rPr>
          <w:rFonts w:cstheme="minorHAnsi"/>
          <w:lang w:val="es-ES"/>
        </w:rPr>
        <w:t>Gobernanza institucional poco flexible</w:t>
      </w:r>
      <w:r w:rsidR="008852B9">
        <w:rPr>
          <w:rFonts w:cstheme="minorHAnsi"/>
          <w:lang w:val="es-ES"/>
        </w:rPr>
        <w:t>.</w:t>
      </w:r>
      <w:r w:rsidR="008852B9">
        <w:rPr>
          <w:rFonts w:cstheme="minorHAnsi"/>
          <w:b/>
          <w:i/>
          <w:lang w:val="es-ES"/>
        </w:rPr>
        <w:t xml:space="preserve"> </w:t>
      </w:r>
      <w:r w:rsidRPr="008852B9">
        <w:rPr>
          <w:rFonts w:cstheme="minorHAnsi"/>
          <w:lang w:val="es-ES"/>
        </w:rPr>
        <w:t xml:space="preserve">Un esquema de articulación supone, por definición, la generación de mecanismos que permitan la cooperación y la unión de esfuerzos entre dos entidades para la solución de un objetivo común. Lo anterior, requiere un esquema institucional óptimo para la cooperación, lo que a su vez supone de cierta flexibilidad para la innovación. </w:t>
      </w:r>
    </w:p>
    <w:p w14:paraId="1304B8E2" w14:textId="77777777" w:rsidR="008852B9" w:rsidRPr="008852B9" w:rsidRDefault="008852B9" w:rsidP="0063405E">
      <w:pPr>
        <w:pStyle w:val="Prrafodelista"/>
        <w:spacing w:after="120" w:line="240" w:lineRule="auto"/>
        <w:ind w:left="1440"/>
        <w:jc w:val="both"/>
        <w:rPr>
          <w:rFonts w:cstheme="minorHAnsi"/>
          <w:b/>
          <w:i/>
          <w:lang w:val="es-ES"/>
        </w:rPr>
      </w:pPr>
    </w:p>
    <w:p w14:paraId="1C9610B7" w14:textId="4F3B3CAA" w:rsidR="00D714AB" w:rsidRPr="008852B9" w:rsidRDefault="008852B9" w:rsidP="0063405E">
      <w:pPr>
        <w:pStyle w:val="Prrafodelista"/>
        <w:numPr>
          <w:ilvl w:val="0"/>
          <w:numId w:val="26"/>
        </w:numPr>
        <w:spacing w:after="120" w:line="240" w:lineRule="auto"/>
        <w:jc w:val="both"/>
        <w:rPr>
          <w:rFonts w:cstheme="minorHAnsi"/>
          <w:u w:val="single"/>
          <w:lang w:val="es-ES"/>
        </w:rPr>
      </w:pPr>
      <w:r w:rsidRPr="008852B9">
        <w:rPr>
          <w:rFonts w:cstheme="minorHAnsi"/>
          <w:color w:val="000000" w:themeColor="text1"/>
          <w:u w:val="single"/>
          <w:lang w:val="es-ES"/>
        </w:rPr>
        <w:t>Deficiencias de los equipamientos de justicia</w:t>
      </w:r>
      <w:r>
        <w:rPr>
          <w:rFonts w:cstheme="minorHAnsi"/>
          <w:color w:val="000000" w:themeColor="text1"/>
          <w:u w:val="single"/>
          <w:lang w:val="es-ES"/>
        </w:rPr>
        <w:t>:</w:t>
      </w:r>
    </w:p>
    <w:p w14:paraId="17B582F2" w14:textId="77777777" w:rsidR="0049270B" w:rsidRPr="0049270B" w:rsidRDefault="00D714AB" w:rsidP="0063405E">
      <w:pPr>
        <w:pStyle w:val="Prrafodelista"/>
        <w:numPr>
          <w:ilvl w:val="1"/>
          <w:numId w:val="15"/>
        </w:numPr>
        <w:spacing w:after="120" w:line="240" w:lineRule="auto"/>
        <w:jc w:val="both"/>
        <w:rPr>
          <w:rFonts w:cstheme="minorHAnsi"/>
          <w:b/>
          <w:i/>
          <w:lang w:val="es-ES"/>
        </w:rPr>
      </w:pPr>
      <w:r w:rsidRPr="008852B9">
        <w:rPr>
          <w:rFonts w:cstheme="minorHAnsi"/>
          <w:lang w:val="es-ES"/>
        </w:rPr>
        <w:t>Edificaciones propias versus arrendadas</w:t>
      </w:r>
      <w:r w:rsidR="008852B9">
        <w:rPr>
          <w:rFonts w:cstheme="minorHAnsi"/>
          <w:lang w:val="es-ES"/>
        </w:rPr>
        <w:t>.</w:t>
      </w:r>
      <w:r w:rsidRPr="008852B9">
        <w:rPr>
          <w:rFonts w:cstheme="minorHAnsi"/>
          <w:lang w:val="es-ES"/>
        </w:rPr>
        <w:t xml:space="preserve"> Hoy, la mayoría de los equipamientos de justicia administrados por la SDSCJ son arrendados, lo que genera riesgos para la sostenibilidad de la estrategia a mediano y largo plazo. Si bien se considera deseable que los equipamientos sean propios, es importante resaltar que actualmente se percibe un déficit de construcciones adecuadas que cumplan con lo establecido en el Plan Maestro de Equipamientos; y que generen condiciones óptimas para la articulación de las entidades operadoras.</w:t>
      </w:r>
    </w:p>
    <w:p w14:paraId="2AC7615C" w14:textId="1D56C406" w:rsidR="0049270B" w:rsidRPr="0049270B" w:rsidRDefault="0049270B" w:rsidP="0063405E">
      <w:pPr>
        <w:pStyle w:val="Prrafodelista"/>
        <w:numPr>
          <w:ilvl w:val="1"/>
          <w:numId w:val="15"/>
        </w:numPr>
        <w:spacing w:after="120" w:line="240" w:lineRule="auto"/>
        <w:jc w:val="both"/>
        <w:rPr>
          <w:rFonts w:cstheme="minorHAnsi"/>
          <w:b/>
          <w:i/>
          <w:lang w:val="es-ES"/>
        </w:rPr>
      </w:pPr>
      <w:r w:rsidRPr="0049270B">
        <w:rPr>
          <w:rFonts w:cs="Arial"/>
        </w:rPr>
        <w:t>Lo relacionado con el Centro de Integral de Justicia pone de presente las dificultades que persisten en la provisión de nueva infraestructura en lo que se refiere a la SDSCJ. Así mismo, como se verá enseguida, la causa de la persistencia de la problemática relacionada con la infraestructura deviene de las necesidades que con esta se pretende satisfacer y del carácter siempre cambiante de los requerimientos ciudadanos en seguridad y justicia.</w:t>
      </w:r>
      <w:r>
        <w:rPr>
          <w:rFonts w:cs="Arial"/>
        </w:rPr>
        <w:t xml:space="preserve"> </w:t>
      </w:r>
      <w:r w:rsidRPr="0049270B">
        <w:rPr>
          <w:rFonts w:cs="Arial"/>
        </w:rPr>
        <w:t xml:space="preserve">La atención efectiva de la demanda de los servicios de justicia provistos por esta Secretaría en las localidades de Suba y Usaquén requiere de la construcción de un centro integral de justicia con plena cobertura para tal sector de la ciudad. Así lo previó la SDSCJ; sin embargo, la regulación existente sobre el uso del suelo y la ausencia de reglas claras que permitan el uso con vocación institucional del mismo impidió la contratación de la obra del Centro Integral de Justicia para dicha zona de la ciudad. </w:t>
      </w:r>
    </w:p>
    <w:p w14:paraId="4F9BE96E" w14:textId="77777777" w:rsidR="008852B9" w:rsidRPr="008852B9" w:rsidRDefault="008852B9" w:rsidP="0063405E">
      <w:pPr>
        <w:pStyle w:val="Prrafodelista"/>
        <w:spacing w:after="120" w:line="240" w:lineRule="auto"/>
        <w:ind w:left="1440"/>
        <w:jc w:val="both"/>
        <w:rPr>
          <w:rFonts w:cstheme="minorHAnsi"/>
          <w:b/>
          <w:i/>
          <w:lang w:val="es-ES"/>
        </w:rPr>
      </w:pPr>
    </w:p>
    <w:p w14:paraId="4F15CB59" w14:textId="40EAE190" w:rsidR="00D714AB" w:rsidRPr="008852B9" w:rsidRDefault="008852B9" w:rsidP="0063405E">
      <w:pPr>
        <w:pStyle w:val="Prrafodelista"/>
        <w:numPr>
          <w:ilvl w:val="0"/>
          <w:numId w:val="26"/>
        </w:numPr>
        <w:spacing w:after="120" w:line="240" w:lineRule="auto"/>
        <w:jc w:val="both"/>
        <w:rPr>
          <w:rFonts w:cstheme="minorHAnsi"/>
          <w:lang w:val="es-ES"/>
        </w:rPr>
      </w:pPr>
      <w:r>
        <w:rPr>
          <w:rFonts w:cstheme="minorHAnsi"/>
          <w:u w:val="single"/>
          <w:lang w:val="es-ES"/>
        </w:rPr>
        <w:lastRenderedPageBreak/>
        <w:t>D</w:t>
      </w:r>
      <w:r w:rsidRPr="00F1409C">
        <w:rPr>
          <w:rFonts w:cstheme="minorHAnsi"/>
          <w:u w:val="single"/>
          <w:lang w:val="es-ES"/>
        </w:rPr>
        <w:t>ebilidades del Sistema de Responsabilidad Penal Adolescente</w:t>
      </w:r>
      <w:r w:rsidR="008C2842" w:rsidRPr="008852B9">
        <w:rPr>
          <w:rFonts w:cstheme="minorHAnsi"/>
          <w:lang w:val="es-ES"/>
        </w:rPr>
        <w:t>:</w:t>
      </w:r>
    </w:p>
    <w:p w14:paraId="1226FA90" w14:textId="7BF54695" w:rsidR="00D714AB" w:rsidRPr="008C2842" w:rsidRDefault="00D714AB" w:rsidP="0063405E">
      <w:pPr>
        <w:pStyle w:val="Prrafodelista"/>
        <w:numPr>
          <w:ilvl w:val="1"/>
          <w:numId w:val="15"/>
        </w:numPr>
        <w:spacing w:line="240" w:lineRule="auto"/>
        <w:jc w:val="both"/>
        <w:rPr>
          <w:rFonts w:cstheme="minorHAnsi"/>
        </w:rPr>
      </w:pPr>
      <w:r w:rsidRPr="008C2842">
        <w:rPr>
          <w:rFonts w:cstheme="minorHAnsi"/>
          <w:lang w:val="es-ES"/>
        </w:rPr>
        <w:t>La deficiencia de infraestructura y la habilitación para el uso de suelo disponible en el Distrito para el SRPA: la infraestructura actual impacta directamente en la evasión de los adolescentes y jóvenes, facilita el ingreso de sustancias psicoactivas y la elaboración de armas artesanales utilizadas en las agresiones al interior de los centros.</w:t>
      </w:r>
    </w:p>
    <w:p w14:paraId="7C6728FF" w14:textId="3A7E8180" w:rsidR="00D714AB" w:rsidRPr="008852B9" w:rsidRDefault="00D714AB" w:rsidP="0063405E">
      <w:pPr>
        <w:pStyle w:val="Prrafodelista"/>
        <w:numPr>
          <w:ilvl w:val="1"/>
          <w:numId w:val="15"/>
        </w:numPr>
        <w:spacing w:line="240" w:lineRule="auto"/>
        <w:jc w:val="both"/>
        <w:rPr>
          <w:rFonts w:cstheme="minorHAnsi"/>
        </w:rPr>
      </w:pPr>
      <w:r w:rsidRPr="008C2842">
        <w:rPr>
          <w:rFonts w:cstheme="minorHAnsi"/>
          <w:lang w:val="es-ES"/>
        </w:rPr>
        <w:t xml:space="preserve">La falta de rutas de articulación para el acceso a la oferta laboral de los adolescentes Y/o jóvenes egresados del SRPA, lo que conlleva al riesgo de la reincidencia del delito.  </w:t>
      </w:r>
    </w:p>
    <w:p w14:paraId="223ACE1D" w14:textId="77777777" w:rsidR="008852B9" w:rsidRPr="008C2842" w:rsidRDefault="008852B9" w:rsidP="0063405E">
      <w:pPr>
        <w:pStyle w:val="Prrafodelista"/>
        <w:spacing w:line="240" w:lineRule="auto"/>
        <w:ind w:left="1440"/>
        <w:jc w:val="both"/>
        <w:rPr>
          <w:rFonts w:cstheme="minorHAnsi"/>
        </w:rPr>
      </w:pPr>
    </w:p>
    <w:p w14:paraId="1C9CB1CE" w14:textId="50C051BC" w:rsidR="00D714AB" w:rsidRPr="008852B9" w:rsidRDefault="00CE7207" w:rsidP="0063405E">
      <w:pPr>
        <w:pStyle w:val="Prrafodelista"/>
        <w:numPr>
          <w:ilvl w:val="0"/>
          <w:numId w:val="26"/>
        </w:numPr>
        <w:spacing w:after="120" w:line="240" w:lineRule="auto"/>
        <w:jc w:val="both"/>
        <w:rPr>
          <w:rFonts w:cstheme="minorHAnsi"/>
          <w:u w:val="single"/>
          <w:lang w:val="es-ES"/>
        </w:rPr>
      </w:pPr>
      <w:r>
        <w:rPr>
          <w:rFonts w:cstheme="minorHAnsi"/>
          <w:u w:val="single"/>
          <w:lang w:val="es-ES"/>
        </w:rPr>
        <w:t>P</w:t>
      </w:r>
      <w:r w:rsidRPr="00F1409C">
        <w:rPr>
          <w:rFonts w:cstheme="minorHAnsi"/>
          <w:u w:val="single"/>
          <w:lang w:val="es-ES"/>
        </w:rPr>
        <w:t>roblemáticas asociadas a la Cárcel Distrital de Varones y el Anexo de Mujeres</w:t>
      </w:r>
      <w:r w:rsidR="00D714AB" w:rsidRPr="008852B9">
        <w:rPr>
          <w:rFonts w:cstheme="minorHAnsi"/>
          <w:u w:val="single"/>
          <w:lang w:val="es-ES"/>
        </w:rPr>
        <w:t>:</w:t>
      </w:r>
    </w:p>
    <w:p w14:paraId="77089F13" w14:textId="78F7A59F" w:rsidR="008852B9" w:rsidRDefault="00D714AB" w:rsidP="0063405E">
      <w:pPr>
        <w:pStyle w:val="Prrafodelista"/>
        <w:numPr>
          <w:ilvl w:val="1"/>
          <w:numId w:val="15"/>
        </w:numPr>
        <w:spacing w:after="120" w:line="240" w:lineRule="auto"/>
        <w:jc w:val="both"/>
        <w:rPr>
          <w:rFonts w:cstheme="minorHAnsi"/>
          <w:lang w:val="es-ES"/>
        </w:rPr>
      </w:pPr>
      <w:r w:rsidRPr="008852B9">
        <w:rPr>
          <w:rFonts w:cstheme="minorHAnsi"/>
          <w:lang w:val="es-ES"/>
        </w:rPr>
        <w:t>La oferta es menor que la demanda</w:t>
      </w:r>
      <w:r w:rsidR="008852B9">
        <w:rPr>
          <w:rFonts w:cstheme="minorHAnsi"/>
          <w:lang w:val="es-ES"/>
        </w:rPr>
        <w:t>.</w:t>
      </w:r>
      <w:r w:rsidRPr="008C2842">
        <w:rPr>
          <w:rFonts w:cstheme="minorHAnsi"/>
          <w:lang w:val="es-ES"/>
        </w:rPr>
        <w:t xml:space="preserve"> Hoy, la población sindicada en Bogotá es de cerca de 5000 personas; y la Cárcel distrital tiene capacidad para 1028.</w:t>
      </w:r>
    </w:p>
    <w:p w14:paraId="4F99BE72" w14:textId="77777777" w:rsidR="004156A7" w:rsidRPr="004156A7" w:rsidRDefault="004156A7" w:rsidP="0063405E">
      <w:pPr>
        <w:pStyle w:val="Prrafodelista"/>
        <w:spacing w:after="120" w:line="240" w:lineRule="auto"/>
        <w:ind w:left="1440"/>
        <w:jc w:val="both"/>
        <w:rPr>
          <w:rFonts w:cstheme="minorHAnsi"/>
          <w:lang w:val="es-ES"/>
        </w:rPr>
      </w:pPr>
    </w:p>
    <w:p w14:paraId="3BC26C1D" w14:textId="5D2D44E1" w:rsidR="008C2842" w:rsidRPr="008852B9" w:rsidRDefault="00D714AB" w:rsidP="0063405E">
      <w:pPr>
        <w:pStyle w:val="Prrafodelista"/>
        <w:numPr>
          <w:ilvl w:val="0"/>
          <w:numId w:val="2"/>
        </w:numPr>
        <w:spacing w:after="120" w:line="240" w:lineRule="auto"/>
        <w:jc w:val="both"/>
        <w:rPr>
          <w:rFonts w:cstheme="minorHAnsi"/>
          <w:b/>
          <w:lang w:val="es-ES"/>
        </w:rPr>
      </w:pPr>
      <w:r w:rsidRPr="008C2842">
        <w:rPr>
          <w:rFonts w:cstheme="minorHAnsi"/>
          <w:b/>
        </w:rPr>
        <w:t xml:space="preserve">Consecuencias </w:t>
      </w:r>
      <w:r w:rsidR="001C74EE">
        <w:rPr>
          <w:rFonts w:cstheme="minorHAnsi"/>
          <w:b/>
        </w:rPr>
        <w:t>de la persistencia del problema</w:t>
      </w:r>
    </w:p>
    <w:p w14:paraId="2CB847C0" w14:textId="77777777" w:rsidR="008852B9" w:rsidRPr="008C2842" w:rsidRDefault="008852B9" w:rsidP="0063405E">
      <w:pPr>
        <w:pStyle w:val="Prrafodelista"/>
        <w:spacing w:after="120" w:line="240" w:lineRule="auto"/>
        <w:jc w:val="both"/>
        <w:rPr>
          <w:rFonts w:cstheme="minorHAnsi"/>
          <w:b/>
          <w:lang w:val="es-ES"/>
        </w:rPr>
      </w:pPr>
    </w:p>
    <w:p w14:paraId="7D6E8B38" w14:textId="494770E8" w:rsidR="00D714AB" w:rsidRPr="008852B9" w:rsidRDefault="00D714AB" w:rsidP="0063405E">
      <w:pPr>
        <w:pStyle w:val="Prrafodelista"/>
        <w:numPr>
          <w:ilvl w:val="0"/>
          <w:numId w:val="27"/>
        </w:numPr>
        <w:spacing w:after="120" w:line="240" w:lineRule="auto"/>
        <w:jc w:val="both"/>
        <w:rPr>
          <w:rFonts w:cstheme="minorHAnsi"/>
          <w:u w:val="single"/>
          <w:lang w:val="es-ES"/>
        </w:rPr>
      </w:pPr>
      <w:r w:rsidRPr="008852B9">
        <w:rPr>
          <w:rFonts w:cstheme="minorHAnsi"/>
          <w:u w:val="single"/>
          <w:lang w:val="es-ES"/>
        </w:rPr>
        <w:t xml:space="preserve"> </w:t>
      </w:r>
      <w:r w:rsidR="008852B9" w:rsidRPr="008852B9">
        <w:rPr>
          <w:rFonts w:cstheme="minorHAnsi"/>
          <w:u w:val="single"/>
          <w:lang w:val="es-ES"/>
        </w:rPr>
        <w:t>B</w:t>
      </w:r>
      <w:r w:rsidRPr="008852B9">
        <w:rPr>
          <w:rFonts w:cstheme="minorHAnsi"/>
          <w:u w:val="single"/>
          <w:lang w:val="es-ES"/>
        </w:rPr>
        <w:t>aja articulación de las entidades operadoras</w:t>
      </w:r>
      <w:r w:rsidR="008C2842" w:rsidRPr="008852B9">
        <w:rPr>
          <w:rFonts w:cstheme="minorHAnsi"/>
          <w:u w:val="single"/>
          <w:lang w:val="es-ES"/>
        </w:rPr>
        <w:t>:</w:t>
      </w:r>
    </w:p>
    <w:p w14:paraId="6C2F0358" w14:textId="32DD86B7" w:rsidR="00D714AB" w:rsidRPr="00CE7207" w:rsidRDefault="00D714AB" w:rsidP="0063405E">
      <w:pPr>
        <w:pStyle w:val="Prrafodelista"/>
        <w:numPr>
          <w:ilvl w:val="1"/>
          <w:numId w:val="15"/>
        </w:numPr>
        <w:spacing w:after="120" w:line="240" w:lineRule="auto"/>
        <w:jc w:val="both"/>
        <w:rPr>
          <w:rFonts w:cstheme="minorHAnsi"/>
          <w:lang w:val="es-ES"/>
        </w:rPr>
      </w:pPr>
      <w:r w:rsidRPr="00CE7207">
        <w:rPr>
          <w:rFonts w:cstheme="minorHAnsi"/>
          <w:lang w:val="es-ES"/>
        </w:rPr>
        <w:t xml:space="preserve">La falta de información completa y oportuna a la hora de tomar decisiones respecto de intervenciones o diseño de políticas </w:t>
      </w:r>
      <w:r w:rsidR="00CE7207" w:rsidRPr="00CE7207">
        <w:rPr>
          <w:rFonts w:cstheme="minorHAnsi"/>
          <w:lang w:val="es-ES"/>
        </w:rPr>
        <w:t>públicas</w:t>
      </w:r>
      <w:r w:rsidRPr="00CE7207">
        <w:rPr>
          <w:rFonts w:cstheme="minorHAnsi"/>
          <w:lang w:val="es-ES"/>
        </w:rPr>
        <w:t xml:space="preserve"> aumenta la probabilidad de error. </w:t>
      </w:r>
    </w:p>
    <w:p w14:paraId="235D803E" w14:textId="77777777" w:rsidR="0045570C" w:rsidRPr="0045570C" w:rsidRDefault="0045570C" w:rsidP="0063405E">
      <w:pPr>
        <w:pStyle w:val="Prrafodelista"/>
        <w:spacing w:after="120" w:line="240" w:lineRule="auto"/>
        <w:jc w:val="both"/>
        <w:rPr>
          <w:rFonts w:cstheme="minorHAnsi"/>
          <w:color w:val="000000" w:themeColor="text1"/>
          <w:lang w:val="es-ES"/>
        </w:rPr>
      </w:pPr>
    </w:p>
    <w:p w14:paraId="026B0EE2" w14:textId="12CC45B7" w:rsidR="0045570C" w:rsidRPr="00CE7207" w:rsidRDefault="00D714AB" w:rsidP="0063405E">
      <w:pPr>
        <w:pStyle w:val="Prrafodelista"/>
        <w:numPr>
          <w:ilvl w:val="1"/>
          <w:numId w:val="15"/>
        </w:numPr>
        <w:spacing w:after="120" w:line="240" w:lineRule="auto"/>
        <w:jc w:val="both"/>
        <w:rPr>
          <w:rFonts w:cstheme="minorHAnsi"/>
          <w:b/>
          <w:i/>
          <w:color w:val="000000" w:themeColor="text1"/>
          <w:lang w:val="es-ES"/>
        </w:rPr>
      </w:pPr>
      <w:r w:rsidRPr="00CE7207">
        <w:rPr>
          <w:rFonts w:cstheme="minorHAnsi"/>
          <w:lang w:val="es-ES"/>
        </w:rPr>
        <w:t>Se recomienda superar esta situación, en la medida que se logren condiciones para descongestionar la justicia formal y no formal, así como acercar la justicia a los ciudadanos a través de actores locales, elegidos por la comunidad.</w:t>
      </w:r>
    </w:p>
    <w:p w14:paraId="6851CACB" w14:textId="65E2E552" w:rsidR="00D714AB" w:rsidRPr="00CE7207" w:rsidRDefault="00D714AB" w:rsidP="0063405E">
      <w:pPr>
        <w:pStyle w:val="Prrafodelista"/>
        <w:numPr>
          <w:ilvl w:val="1"/>
          <w:numId w:val="15"/>
        </w:numPr>
        <w:spacing w:after="120" w:line="240" w:lineRule="auto"/>
        <w:jc w:val="both"/>
        <w:rPr>
          <w:rFonts w:cstheme="minorHAnsi"/>
          <w:i/>
          <w:lang w:val="es-ES"/>
        </w:rPr>
      </w:pPr>
      <w:r w:rsidRPr="00CE7207">
        <w:rPr>
          <w:rFonts w:cstheme="minorHAnsi"/>
          <w:lang w:val="es-ES"/>
        </w:rPr>
        <w:t>Se dificulta la articulación entre las instituciones y entidades operadoras, así como la generación de procesos de innovación que permitan encontrar nuevos enfoques para resolver desafíos en materia de acceso a la justicia.</w:t>
      </w:r>
    </w:p>
    <w:p w14:paraId="4C8459A6" w14:textId="77777777" w:rsidR="00CE7207" w:rsidRPr="00CE7207" w:rsidRDefault="00CE7207" w:rsidP="0063405E">
      <w:pPr>
        <w:pStyle w:val="Prrafodelista"/>
        <w:spacing w:after="120" w:line="240" w:lineRule="auto"/>
        <w:ind w:left="1440"/>
        <w:jc w:val="both"/>
        <w:rPr>
          <w:rFonts w:cstheme="minorHAnsi"/>
          <w:i/>
          <w:lang w:val="es-ES"/>
        </w:rPr>
      </w:pPr>
    </w:p>
    <w:p w14:paraId="24DDC423" w14:textId="3DFDF821" w:rsidR="00D714AB" w:rsidRPr="00CE7207" w:rsidRDefault="00D714AB" w:rsidP="0063405E">
      <w:pPr>
        <w:pStyle w:val="Prrafodelista"/>
        <w:numPr>
          <w:ilvl w:val="0"/>
          <w:numId w:val="27"/>
        </w:numPr>
        <w:spacing w:after="120" w:line="240" w:lineRule="auto"/>
        <w:jc w:val="both"/>
        <w:rPr>
          <w:rFonts w:cstheme="minorHAnsi"/>
          <w:u w:val="single"/>
          <w:lang w:val="es-ES"/>
        </w:rPr>
      </w:pPr>
      <w:r w:rsidRPr="00CE7207">
        <w:rPr>
          <w:rFonts w:cstheme="minorHAnsi"/>
          <w:u w:val="single"/>
          <w:lang w:val="es-ES"/>
        </w:rPr>
        <w:t>Respecto de las deficiencias de los equipamientos de justicia:</w:t>
      </w:r>
    </w:p>
    <w:p w14:paraId="024C77FE" w14:textId="52E7C9EE" w:rsidR="00D714AB" w:rsidRPr="00CE7207" w:rsidRDefault="00D714AB" w:rsidP="0063405E">
      <w:pPr>
        <w:pStyle w:val="Prrafodelista"/>
        <w:numPr>
          <w:ilvl w:val="1"/>
          <w:numId w:val="15"/>
        </w:numPr>
        <w:spacing w:after="120" w:line="240" w:lineRule="auto"/>
        <w:jc w:val="both"/>
        <w:rPr>
          <w:rFonts w:cstheme="minorHAnsi"/>
          <w:i/>
          <w:lang w:val="es-ES"/>
        </w:rPr>
      </w:pPr>
      <w:r w:rsidRPr="00CE7207">
        <w:rPr>
          <w:rFonts w:cstheme="minorHAnsi"/>
          <w:lang w:val="es-ES"/>
        </w:rPr>
        <w:t>Se acentuará el déficit de edificaciones adecuadas.</w:t>
      </w:r>
    </w:p>
    <w:p w14:paraId="213A9E22" w14:textId="77777777" w:rsidR="00CE7207" w:rsidRPr="00CE7207" w:rsidRDefault="00CE7207" w:rsidP="0063405E">
      <w:pPr>
        <w:pStyle w:val="Prrafodelista"/>
        <w:spacing w:after="120" w:line="240" w:lineRule="auto"/>
        <w:ind w:left="1440"/>
        <w:jc w:val="both"/>
        <w:rPr>
          <w:rFonts w:cstheme="minorHAnsi"/>
          <w:i/>
          <w:lang w:val="es-ES"/>
        </w:rPr>
      </w:pPr>
    </w:p>
    <w:p w14:paraId="4AA40EC9" w14:textId="743FE958" w:rsidR="00D714AB" w:rsidRPr="00CE7207" w:rsidRDefault="00CE7207" w:rsidP="0063405E">
      <w:pPr>
        <w:pStyle w:val="Prrafodelista"/>
        <w:numPr>
          <w:ilvl w:val="0"/>
          <w:numId w:val="27"/>
        </w:numPr>
        <w:spacing w:after="120" w:line="240" w:lineRule="auto"/>
        <w:jc w:val="both"/>
        <w:rPr>
          <w:rFonts w:cstheme="minorHAnsi"/>
          <w:u w:val="single"/>
          <w:lang w:val="es-ES"/>
        </w:rPr>
      </w:pPr>
      <w:r>
        <w:rPr>
          <w:rFonts w:cstheme="minorHAnsi"/>
          <w:u w:val="single"/>
          <w:lang w:val="es-ES"/>
        </w:rPr>
        <w:t>D</w:t>
      </w:r>
      <w:r w:rsidRPr="00F1409C">
        <w:rPr>
          <w:rFonts w:cstheme="minorHAnsi"/>
          <w:u w:val="single"/>
          <w:lang w:val="es-ES"/>
        </w:rPr>
        <w:t>ebilidades del Sistema de Responsabilidad Penal Adolescente</w:t>
      </w:r>
      <w:r>
        <w:rPr>
          <w:rFonts w:cstheme="minorHAnsi"/>
          <w:u w:val="single"/>
          <w:lang w:val="es-ES"/>
        </w:rPr>
        <w:t>:</w:t>
      </w:r>
    </w:p>
    <w:p w14:paraId="03C7ED3C" w14:textId="17032B5C" w:rsidR="00D714AB" w:rsidRPr="00CE7207" w:rsidRDefault="00D714AB" w:rsidP="0063405E">
      <w:pPr>
        <w:pStyle w:val="Prrafodelista"/>
        <w:numPr>
          <w:ilvl w:val="1"/>
          <w:numId w:val="15"/>
        </w:numPr>
        <w:spacing w:line="240" w:lineRule="auto"/>
        <w:jc w:val="both"/>
        <w:rPr>
          <w:rFonts w:cstheme="minorHAnsi"/>
        </w:rPr>
      </w:pPr>
      <w:r w:rsidRPr="008C2842">
        <w:rPr>
          <w:rFonts w:cstheme="minorHAnsi"/>
          <w:lang w:val="es-ES"/>
        </w:rPr>
        <w:t>La infraestructura actual impacta directamente en la evasión de los adolescentes y jóvenes, facilita el ingreso de sustancias psicoactivas y la elaboración de armas artesanales utilizadas en las agresiones al interior de los centros.</w:t>
      </w:r>
    </w:p>
    <w:p w14:paraId="6FA32B7B" w14:textId="77777777" w:rsidR="00CE7207" w:rsidRPr="008C2842" w:rsidRDefault="00CE7207" w:rsidP="0063405E">
      <w:pPr>
        <w:pStyle w:val="Prrafodelista"/>
        <w:spacing w:line="240" w:lineRule="auto"/>
        <w:ind w:left="1440"/>
        <w:jc w:val="both"/>
        <w:rPr>
          <w:rFonts w:cstheme="minorHAnsi"/>
        </w:rPr>
      </w:pPr>
    </w:p>
    <w:p w14:paraId="27E4B90A" w14:textId="7CBA6D61" w:rsidR="00D714AB" w:rsidRPr="00CE7207" w:rsidRDefault="00CE7207" w:rsidP="0063405E">
      <w:pPr>
        <w:pStyle w:val="Prrafodelista"/>
        <w:numPr>
          <w:ilvl w:val="0"/>
          <w:numId w:val="27"/>
        </w:numPr>
        <w:spacing w:after="120" w:line="240" w:lineRule="auto"/>
        <w:jc w:val="both"/>
        <w:rPr>
          <w:rFonts w:cstheme="minorHAnsi"/>
          <w:lang w:val="es-ES"/>
        </w:rPr>
      </w:pPr>
      <w:r w:rsidRPr="00CE7207">
        <w:rPr>
          <w:rFonts w:cstheme="minorHAnsi"/>
          <w:u w:val="single"/>
          <w:lang w:val="es-ES"/>
        </w:rPr>
        <w:t>Problemáticas asociadas a la Cárcel Distrital de Varones y el Anexo de Mujeres</w:t>
      </w:r>
      <w:r w:rsidR="00D714AB" w:rsidRPr="00CE7207">
        <w:rPr>
          <w:rFonts w:cstheme="minorHAnsi"/>
          <w:lang w:val="es-ES"/>
        </w:rPr>
        <w:t>:</w:t>
      </w:r>
    </w:p>
    <w:p w14:paraId="66C16102" w14:textId="7D7A2CBB" w:rsidR="00CE7207" w:rsidRPr="0063405E" w:rsidRDefault="00D714AB" w:rsidP="0063405E">
      <w:pPr>
        <w:pStyle w:val="Prrafodelista"/>
        <w:numPr>
          <w:ilvl w:val="1"/>
          <w:numId w:val="15"/>
        </w:numPr>
        <w:spacing w:after="120" w:line="240" w:lineRule="auto"/>
        <w:jc w:val="both"/>
        <w:rPr>
          <w:rFonts w:cstheme="minorHAnsi"/>
          <w:lang w:val="es-ES"/>
        </w:rPr>
      </w:pPr>
      <w:r w:rsidRPr="008C2842">
        <w:rPr>
          <w:rFonts w:cstheme="minorHAnsi"/>
          <w:lang w:val="es-ES"/>
        </w:rPr>
        <w:t>La ciudad continúa requiriendo la ampliación de cupos para atender a la población sindicada. Se hace necesario revisar los esquemas de uso de suelo necesarios para la construcción de nuevos equipamientos de este tipo.</w:t>
      </w:r>
    </w:p>
    <w:p w14:paraId="066A8355" w14:textId="582BF4A7" w:rsidR="00D714AB" w:rsidRPr="004156A7" w:rsidRDefault="00D714AB" w:rsidP="0063405E">
      <w:pPr>
        <w:spacing w:after="120" w:line="240" w:lineRule="auto"/>
        <w:jc w:val="both"/>
        <w:rPr>
          <w:rFonts w:cstheme="minorHAnsi"/>
          <w:lang w:val="es-ES"/>
        </w:rPr>
      </w:pPr>
      <w:r w:rsidRPr="00E37BAA">
        <w:rPr>
          <w:rFonts w:cstheme="minorHAnsi"/>
          <w:lang w:val="es-ES"/>
        </w:rPr>
        <w:t>En virtud de lo anterior, se hace necesario que la Alcaldía Mayor continúe con acciones para consolidar y fortalecer el Sistema Distrital de Justicia, que promueva e</w:t>
      </w:r>
      <w:r w:rsidRPr="00E37BAA">
        <w:rPr>
          <w:rFonts w:cstheme="minorHAnsi"/>
        </w:rPr>
        <w:t xml:space="preserve">l acceso a una justicia ágil y oportuno de los ciudadanos para reducir los casos en que la población se toma las justicia por mano propia y se perpetúa el ciclo de violencia. Además, es un vehículo para garantizar la seguridad de la ciudad, dado que otorga herramientas para la exigibilidad y protección efectiva de derechos, promueve la prevención del aumento de los conflictos o su resolución violenta, aporta en la reducción de los niveles de impunidad en la lucha contra la delincuencia organizada y fomentar el </w:t>
      </w:r>
      <w:r w:rsidRPr="00E37BAA">
        <w:rPr>
          <w:rFonts w:cstheme="minorHAnsi"/>
        </w:rPr>
        <w:lastRenderedPageBreak/>
        <w:t>trato digno y humano en el cumplimiento de las penas a las personas privadas de la libertad, y el proceso de traslado al Centro de Traslado por Protección.</w:t>
      </w:r>
    </w:p>
    <w:sectPr w:rsidR="00D714AB" w:rsidRPr="004156A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06C46" w14:textId="77777777" w:rsidR="00D35ECA" w:rsidRDefault="00D35ECA" w:rsidP="00D714AB">
      <w:pPr>
        <w:spacing w:after="0" w:line="240" w:lineRule="auto"/>
      </w:pPr>
      <w:r>
        <w:separator/>
      </w:r>
    </w:p>
  </w:endnote>
  <w:endnote w:type="continuationSeparator" w:id="0">
    <w:p w14:paraId="2DB621F5" w14:textId="77777777" w:rsidR="00D35ECA" w:rsidRDefault="00D35ECA" w:rsidP="00D7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72A1C" w14:textId="77777777" w:rsidR="00D35ECA" w:rsidRDefault="00D35ECA" w:rsidP="00D714AB">
      <w:pPr>
        <w:spacing w:after="0" w:line="240" w:lineRule="auto"/>
      </w:pPr>
      <w:r>
        <w:separator/>
      </w:r>
    </w:p>
  </w:footnote>
  <w:footnote w:type="continuationSeparator" w:id="0">
    <w:p w14:paraId="2E2AE34C" w14:textId="77777777" w:rsidR="00D35ECA" w:rsidRDefault="00D35ECA" w:rsidP="00D714AB">
      <w:pPr>
        <w:spacing w:after="0" w:line="240" w:lineRule="auto"/>
      </w:pPr>
      <w:r>
        <w:continuationSeparator/>
      </w:r>
    </w:p>
  </w:footnote>
  <w:footnote w:id="1">
    <w:p w14:paraId="7AF52D59" w14:textId="5C22FA00" w:rsidR="0035508B" w:rsidRPr="003375CC" w:rsidRDefault="0035508B" w:rsidP="003375CC">
      <w:pPr>
        <w:jc w:val="both"/>
        <w:rPr>
          <w:rFonts w:asciiTheme="majorHAnsi" w:hAnsiTheme="majorHAnsi"/>
          <w:lang w:val="es-ES"/>
        </w:rPr>
      </w:pPr>
      <w:r>
        <w:rPr>
          <w:rStyle w:val="Refdenotaalpie"/>
        </w:rPr>
        <w:footnoteRef/>
      </w:r>
      <w:r w:rsidRPr="00ED6748">
        <w:t xml:space="preserve"> </w:t>
      </w:r>
      <w:r w:rsidRPr="00ED6748">
        <w:rPr>
          <w:rFonts w:asciiTheme="majorHAnsi" w:hAnsiTheme="majorHAnsi"/>
          <w:sz w:val="16"/>
          <w:lang w:val="es-ES"/>
        </w:rPr>
        <w:t>A septiembre de 2019 y comparado con el mismo periodo del año anterior, donde las cifras vuelven a ser comparables, las lesiones personales muestran una disminución del 19.2%.</w:t>
      </w:r>
    </w:p>
  </w:footnote>
  <w:footnote w:id="2">
    <w:p w14:paraId="08975774" w14:textId="74FF6D9A" w:rsidR="0035508B" w:rsidRDefault="0035508B">
      <w:pPr>
        <w:pStyle w:val="Textonotapie"/>
      </w:pPr>
      <w:r>
        <w:rPr>
          <w:rStyle w:val="Refdenotaalpie"/>
        </w:rPr>
        <w:footnoteRef/>
      </w:r>
      <w:r>
        <w:t xml:space="preserve"> Arma contundente se le llama a un arma u objeto destinado a causar un golpe o contusión. </w:t>
      </w:r>
    </w:p>
  </w:footnote>
  <w:footnote w:id="3">
    <w:p w14:paraId="273CB5F6" w14:textId="77777777" w:rsidR="002E171F" w:rsidRDefault="002E171F" w:rsidP="002E171F">
      <w:pPr>
        <w:pStyle w:val="Textonotapie"/>
      </w:pPr>
      <w:r>
        <w:rPr>
          <w:rStyle w:val="Refdenotaalpie"/>
        </w:rPr>
        <w:footnoteRef/>
      </w:r>
      <w:r>
        <w:t xml:space="preserve"> Usme, </w:t>
      </w:r>
      <w:proofErr w:type="spellStart"/>
      <w:r>
        <w:t>Britalia</w:t>
      </w:r>
      <w:proofErr w:type="spellEnd"/>
      <w:r>
        <w:t>, Perdomo, Santa Marta, Guacamayas y Granjas.</w:t>
      </w:r>
    </w:p>
  </w:footnote>
  <w:footnote w:id="4">
    <w:p w14:paraId="5F1D5344" w14:textId="77777777" w:rsidR="002E171F" w:rsidRDefault="002E171F" w:rsidP="002E171F">
      <w:pPr>
        <w:pStyle w:val="Textonotapie"/>
      </w:pPr>
      <w:r>
        <w:rPr>
          <w:rStyle w:val="Refdenotaalpie"/>
        </w:rPr>
        <w:footnoteRef/>
      </w:r>
      <w:r>
        <w:t xml:space="preserve"> Telecom, Santa Librada y Guaymaral.</w:t>
      </w:r>
    </w:p>
  </w:footnote>
  <w:footnote w:id="5">
    <w:p w14:paraId="4DC4EA21" w14:textId="606D05E5" w:rsidR="0035508B" w:rsidRPr="0040461C" w:rsidRDefault="0035508B" w:rsidP="00F62F7B">
      <w:pPr>
        <w:pStyle w:val="Textonotapie"/>
        <w:ind w:firstLine="708"/>
        <w:rPr>
          <w:rFonts w:cstheme="minorHAnsi"/>
          <w:sz w:val="18"/>
          <w:szCs w:val="18"/>
        </w:rPr>
      </w:pPr>
    </w:p>
  </w:footnote>
  <w:footnote w:id="6">
    <w:p w14:paraId="4EF280FD" w14:textId="77777777" w:rsidR="00CE50A6" w:rsidRPr="00823241" w:rsidRDefault="00CE50A6" w:rsidP="00CE50A6">
      <w:pPr>
        <w:pStyle w:val="Textonotapie"/>
        <w:rPr>
          <w:lang w:val="es-ES"/>
        </w:rPr>
      </w:pPr>
      <w:r>
        <w:rPr>
          <w:rStyle w:val="Refdenotaalpie"/>
        </w:rPr>
        <w:footnoteRef/>
      </w:r>
      <w:r>
        <w:t xml:space="preserve"> </w:t>
      </w:r>
      <w:r w:rsidRPr="00823241">
        <w:rPr>
          <w:lang w:val="es-ES"/>
        </w:rPr>
        <w:t xml:space="preserve">Se adecuó la estrategia para ser implementada con las </w:t>
      </w:r>
      <w:r w:rsidRPr="00823241">
        <w:t xml:space="preserve">personas trasladadas al CTP y privados de la libertad en la Unidad de Reacción Inmediata de Puente Aranda.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680C"/>
    <w:multiLevelType w:val="hybridMultilevel"/>
    <w:tmpl w:val="18B66F32"/>
    <w:lvl w:ilvl="0" w:tplc="47864F98">
      <w:start w:val="1"/>
      <w:numFmt w:val="decimal"/>
      <w:lvlText w:val="%1."/>
      <w:lvlJc w:val="left"/>
      <w:pPr>
        <w:ind w:left="1080" w:hanging="360"/>
      </w:pPr>
      <w:rPr>
        <w:rFonts w:hint="default"/>
        <w:b w:val="0"/>
        <w:u w:val="non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57335EA"/>
    <w:multiLevelType w:val="hybridMultilevel"/>
    <w:tmpl w:val="D8E66C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5B516F"/>
    <w:multiLevelType w:val="hybridMultilevel"/>
    <w:tmpl w:val="4AD423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7692A"/>
    <w:multiLevelType w:val="hybridMultilevel"/>
    <w:tmpl w:val="0D049468"/>
    <w:lvl w:ilvl="0" w:tplc="8314329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641292"/>
    <w:multiLevelType w:val="hybridMultilevel"/>
    <w:tmpl w:val="D37E2818"/>
    <w:lvl w:ilvl="0" w:tplc="6870EB28">
      <w:start w:val="1"/>
      <w:numFmt w:val="bullet"/>
      <w:lvlText w:val="-"/>
      <w:lvlJc w:val="left"/>
      <w:pPr>
        <w:ind w:left="720" w:hanging="360"/>
      </w:pPr>
      <w:rPr>
        <w:rFonts w:ascii="Calibri" w:eastAsia="Times New Roman" w:hAnsi="Calibri" w:cs="Calibr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A95074"/>
    <w:multiLevelType w:val="hybridMultilevel"/>
    <w:tmpl w:val="5EF673E4"/>
    <w:lvl w:ilvl="0" w:tplc="53847C74">
      <w:start w:val="1"/>
      <w:numFmt w:val="lowerRoman"/>
      <w:lvlText w:val="%1."/>
      <w:lvlJc w:val="left"/>
      <w:pPr>
        <w:ind w:left="1080" w:hanging="72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B172E47"/>
    <w:multiLevelType w:val="hybridMultilevel"/>
    <w:tmpl w:val="302C587E"/>
    <w:lvl w:ilvl="0" w:tplc="5A0E40DA">
      <w:start w:val="9"/>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C3C06B9"/>
    <w:multiLevelType w:val="hybridMultilevel"/>
    <w:tmpl w:val="E3946A94"/>
    <w:lvl w:ilvl="0" w:tplc="9C8E9900">
      <w:start w:val="1"/>
      <w:numFmt w:val="bullet"/>
      <w:lvlText w:val="-"/>
      <w:lvlJc w:val="left"/>
      <w:pPr>
        <w:ind w:left="720" w:hanging="360"/>
      </w:pPr>
      <w:rPr>
        <w:rFonts w:ascii="Calibri" w:eastAsia="Times New Roman" w:hAnsi="Calibri"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C8571E3"/>
    <w:multiLevelType w:val="hybridMultilevel"/>
    <w:tmpl w:val="B1DCD690"/>
    <w:lvl w:ilvl="0" w:tplc="FB2ED43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8B3B5A"/>
    <w:multiLevelType w:val="hybridMultilevel"/>
    <w:tmpl w:val="C786FC74"/>
    <w:lvl w:ilvl="0" w:tplc="CEE24B44">
      <w:start w:val="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0628F4"/>
    <w:multiLevelType w:val="hybridMultilevel"/>
    <w:tmpl w:val="69DEC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6AB4E1F"/>
    <w:multiLevelType w:val="hybridMultilevel"/>
    <w:tmpl w:val="4658FD5C"/>
    <w:lvl w:ilvl="0" w:tplc="040A0019">
      <w:start w:val="9"/>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6E46EB7"/>
    <w:multiLevelType w:val="hybridMultilevel"/>
    <w:tmpl w:val="D27C6D3E"/>
    <w:lvl w:ilvl="0" w:tplc="3BDAAD7A">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1CBA49EE"/>
    <w:multiLevelType w:val="multilevel"/>
    <w:tmpl w:val="C5FE53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31A51E7"/>
    <w:multiLevelType w:val="hybridMultilevel"/>
    <w:tmpl w:val="ABFEB4BA"/>
    <w:lvl w:ilvl="0" w:tplc="C34A65E0">
      <w:start w:val="9"/>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ACE5578"/>
    <w:multiLevelType w:val="hybridMultilevel"/>
    <w:tmpl w:val="95CC22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2E2BC4"/>
    <w:multiLevelType w:val="hybridMultilevel"/>
    <w:tmpl w:val="424E0B6C"/>
    <w:lvl w:ilvl="0" w:tplc="52CA734A">
      <w:start w:val="9"/>
      <w:numFmt w:val="lowerLetter"/>
      <w:lvlText w:val="%1."/>
      <w:lvlJc w:val="left"/>
      <w:pPr>
        <w:ind w:left="1069" w:hanging="360"/>
      </w:pPr>
      <w:rPr>
        <w:rFonts w:hint="default"/>
        <w:i/>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7" w15:restartNumberingAfterBreak="0">
    <w:nsid w:val="2CB42CC1"/>
    <w:multiLevelType w:val="multilevel"/>
    <w:tmpl w:val="4906F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6E5A9F"/>
    <w:multiLevelType w:val="hybridMultilevel"/>
    <w:tmpl w:val="DBF61C70"/>
    <w:lvl w:ilvl="0" w:tplc="3398C7DE">
      <w:numFmt w:val="bullet"/>
      <w:lvlText w:val="-"/>
      <w:lvlJc w:val="left"/>
      <w:pPr>
        <w:ind w:left="720" w:hanging="360"/>
      </w:pPr>
      <w:rPr>
        <w:rFonts w:ascii="Calibri" w:eastAsia="Times New Roman"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FC5899"/>
    <w:multiLevelType w:val="hybridMultilevel"/>
    <w:tmpl w:val="7D8CD7FA"/>
    <w:lvl w:ilvl="0" w:tplc="0FFC9624">
      <w:start w:val="1"/>
      <w:numFmt w:val="decimal"/>
      <w:lvlText w:val="%1."/>
      <w:lvlJc w:val="left"/>
      <w:pPr>
        <w:ind w:left="360" w:hanging="360"/>
      </w:pPr>
      <w:rPr>
        <w:rFonts w:hint="default"/>
        <w:b/>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3ECB37FD"/>
    <w:multiLevelType w:val="hybridMultilevel"/>
    <w:tmpl w:val="61B0F63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41145E21"/>
    <w:multiLevelType w:val="hybridMultilevel"/>
    <w:tmpl w:val="FD345B62"/>
    <w:lvl w:ilvl="0" w:tplc="240A000F">
      <w:start w:val="1"/>
      <w:numFmt w:val="decimal"/>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FAB06B6"/>
    <w:multiLevelType w:val="hybridMultilevel"/>
    <w:tmpl w:val="5C2A4098"/>
    <w:lvl w:ilvl="0" w:tplc="6D14FA98">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90138A"/>
    <w:multiLevelType w:val="hybridMultilevel"/>
    <w:tmpl w:val="B85E9E2A"/>
    <w:lvl w:ilvl="0" w:tplc="B7527706">
      <w:start w:val="1"/>
      <w:numFmt w:val="lowerRoman"/>
      <w:lvlText w:val="%1."/>
      <w:lvlJc w:val="left"/>
      <w:pPr>
        <w:ind w:left="1080" w:hanging="72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2E30497"/>
    <w:multiLevelType w:val="hybridMultilevel"/>
    <w:tmpl w:val="A61C0584"/>
    <w:lvl w:ilvl="0" w:tplc="240A000D">
      <w:start w:val="1"/>
      <w:numFmt w:val="bullet"/>
      <w:pStyle w:val="Estilo2"/>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A46A81"/>
    <w:multiLevelType w:val="hybridMultilevel"/>
    <w:tmpl w:val="68504586"/>
    <w:lvl w:ilvl="0" w:tplc="773A7FEA">
      <w:start w:val="1"/>
      <w:numFmt w:val="lowerRoman"/>
      <w:lvlText w:val="%1."/>
      <w:lvlJc w:val="left"/>
      <w:pPr>
        <w:ind w:left="1080" w:hanging="72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C753910"/>
    <w:multiLevelType w:val="hybridMultilevel"/>
    <w:tmpl w:val="B0821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5F24DD"/>
    <w:multiLevelType w:val="hybridMultilevel"/>
    <w:tmpl w:val="B2C01240"/>
    <w:lvl w:ilvl="0" w:tplc="E586D130">
      <w:start w:val="1"/>
      <w:numFmt w:val="bullet"/>
      <w:lvlText w:val="-"/>
      <w:lvlJc w:val="left"/>
      <w:pPr>
        <w:ind w:left="720" w:hanging="360"/>
      </w:pPr>
      <w:rPr>
        <w:rFonts w:ascii="Calibri" w:eastAsiaTheme="minorHAnsi" w:hAnsi="Calibri" w:cs="Calibri" w:hint="default"/>
        <w:b/>
        <w:i/>
        <w:u w:val="no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00954B4"/>
    <w:multiLevelType w:val="hybridMultilevel"/>
    <w:tmpl w:val="817CF0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0FA6785"/>
    <w:multiLevelType w:val="hybridMultilevel"/>
    <w:tmpl w:val="8584B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1BC15AF"/>
    <w:multiLevelType w:val="hybridMultilevel"/>
    <w:tmpl w:val="3288DD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B22A71"/>
    <w:multiLevelType w:val="hybridMultilevel"/>
    <w:tmpl w:val="204A1954"/>
    <w:lvl w:ilvl="0" w:tplc="6870EB28">
      <w:start w:val="1"/>
      <w:numFmt w:val="bullet"/>
      <w:lvlText w:val="-"/>
      <w:lvlJc w:val="left"/>
      <w:pPr>
        <w:ind w:left="720" w:hanging="360"/>
      </w:pPr>
      <w:rPr>
        <w:rFonts w:ascii="Calibri" w:eastAsia="Times New Roman"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57438FB"/>
    <w:multiLevelType w:val="hybridMultilevel"/>
    <w:tmpl w:val="3FF61B60"/>
    <w:lvl w:ilvl="0" w:tplc="6870EB28">
      <w:start w:val="1"/>
      <w:numFmt w:val="bullet"/>
      <w:lvlText w:val="-"/>
      <w:lvlJc w:val="left"/>
      <w:pPr>
        <w:ind w:left="720" w:hanging="360"/>
      </w:pPr>
      <w:rPr>
        <w:rFonts w:ascii="Calibri" w:eastAsia="Times New Roman"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95E62EB"/>
    <w:multiLevelType w:val="hybridMultilevel"/>
    <w:tmpl w:val="07EC4EFE"/>
    <w:lvl w:ilvl="0" w:tplc="D26C0E38">
      <w:start w:val="1"/>
      <w:numFmt w:val="decimal"/>
      <w:lvlText w:val="%1."/>
      <w:lvlJc w:val="left"/>
      <w:pPr>
        <w:ind w:left="720" w:hanging="360"/>
      </w:pPr>
      <w:rPr>
        <w:rFonts w:eastAsiaTheme="minorHAnsi"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B611655"/>
    <w:multiLevelType w:val="hybridMultilevel"/>
    <w:tmpl w:val="8028E8EA"/>
    <w:lvl w:ilvl="0" w:tplc="FCC826EE">
      <w:start w:val="9"/>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CDD6E05"/>
    <w:multiLevelType w:val="hybridMultilevel"/>
    <w:tmpl w:val="2EC823FE"/>
    <w:lvl w:ilvl="0" w:tplc="9C8E9900">
      <w:start w:val="1"/>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1"/>
  </w:num>
  <w:num w:numId="4">
    <w:abstractNumId w:val="23"/>
  </w:num>
  <w:num w:numId="5">
    <w:abstractNumId w:val="25"/>
  </w:num>
  <w:num w:numId="6">
    <w:abstractNumId w:val="34"/>
  </w:num>
  <w:num w:numId="7">
    <w:abstractNumId w:val="5"/>
  </w:num>
  <w:num w:numId="8">
    <w:abstractNumId w:val="16"/>
  </w:num>
  <w:num w:numId="9">
    <w:abstractNumId w:val="11"/>
  </w:num>
  <w:num w:numId="10">
    <w:abstractNumId w:val="6"/>
  </w:num>
  <w:num w:numId="11">
    <w:abstractNumId w:val="14"/>
  </w:num>
  <w:num w:numId="12">
    <w:abstractNumId w:val="31"/>
  </w:num>
  <w:num w:numId="13">
    <w:abstractNumId w:val="24"/>
  </w:num>
  <w:num w:numId="14">
    <w:abstractNumId w:val="32"/>
  </w:num>
  <w:num w:numId="15">
    <w:abstractNumId w:val="7"/>
  </w:num>
  <w:num w:numId="16">
    <w:abstractNumId w:val="20"/>
  </w:num>
  <w:num w:numId="17">
    <w:abstractNumId w:val="19"/>
  </w:num>
  <w:num w:numId="18">
    <w:abstractNumId w:val="17"/>
  </w:num>
  <w:num w:numId="19">
    <w:abstractNumId w:val="13"/>
  </w:num>
  <w:num w:numId="20">
    <w:abstractNumId w:val="22"/>
  </w:num>
  <w:num w:numId="21">
    <w:abstractNumId w:val="8"/>
  </w:num>
  <w:num w:numId="22">
    <w:abstractNumId w:val="35"/>
  </w:num>
  <w:num w:numId="23">
    <w:abstractNumId w:val="1"/>
  </w:num>
  <w:num w:numId="24">
    <w:abstractNumId w:val="3"/>
  </w:num>
  <w:num w:numId="25">
    <w:abstractNumId w:val="28"/>
  </w:num>
  <w:num w:numId="26">
    <w:abstractNumId w:val="0"/>
  </w:num>
  <w:num w:numId="27">
    <w:abstractNumId w:val="2"/>
  </w:num>
  <w:num w:numId="28">
    <w:abstractNumId w:val="29"/>
  </w:num>
  <w:num w:numId="29">
    <w:abstractNumId w:val="27"/>
  </w:num>
  <w:num w:numId="30">
    <w:abstractNumId w:val="12"/>
  </w:num>
  <w:num w:numId="31">
    <w:abstractNumId w:val="26"/>
  </w:num>
  <w:num w:numId="32">
    <w:abstractNumId w:val="30"/>
  </w:num>
  <w:num w:numId="33">
    <w:abstractNumId w:val="33"/>
  </w:num>
  <w:num w:numId="34">
    <w:abstractNumId w:val="9"/>
  </w:num>
  <w:num w:numId="35">
    <w:abstractNumId w:val="1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4AB"/>
    <w:rsid w:val="000048BE"/>
    <w:rsid w:val="00005560"/>
    <w:rsid w:val="0006161E"/>
    <w:rsid w:val="000623A2"/>
    <w:rsid w:val="000726BB"/>
    <w:rsid w:val="00077B4D"/>
    <w:rsid w:val="000B509F"/>
    <w:rsid w:val="000B5751"/>
    <w:rsid w:val="00120D25"/>
    <w:rsid w:val="0015145B"/>
    <w:rsid w:val="001705A5"/>
    <w:rsid w:val="001943D8"/>
    <w:rsid w:val="001C74EE"/>
    <w:rsid w:val="001D0A5D"/>
    <w:rsid w:val="001F5B0A"/>
    <w:rsid w:val="0020266C"/>
    <w:rsid w:val="00214ACA"/>
    <w:rsid w:val="00216D56"/>
    <w:rsid w:val="00231D1C"/>
    <w:rsid w:val="00233BF9"/>
    <w:rsid w:val="00237E8E"/>
    <w:rsid w:val="002637B1"/>
    <w:rsid w:val="00264DF4"/>
    <w:rsid w:val="0028269C"/>
    <w:rsid w:val="002919A3"/>
    <w:rsid w:val="002958BE"/>
    <w:rsid w:val="00296C8F"/>
    <w:rsid w:val="002A34D1"/>
    <w:rsid w:val="002D7438"/>
    <w:rsid w:val="002E171F"/>
    <w:rsid w:val="002F7849"/>
    <w:rsid w:val="00304B2C"/>
    <w:rsid w:val="003152EE"/>
    <w:rsid w:val="003375CC"/>
    <w:rsid w:val="0035030B"/>
    <w:rsid w:val="00350377"/>
    <w:rsid w:val="00350650"/>
    <w:rsid w:val="0035508B"/>
    <w:rsid w:val="00356AC4"/>
    <w:rsid w:val="003B7325"/>
    <w:rsid w:val="003C18D8"/>
    <w:rsid w:val="003C6BFF"/>
    <w:rsid w:val="003E13F6"/>
    <w:rsid w:val="003F4BC1"/>
    <w:rsid w:val="00402C7B"/>
    <w:rsid w:val="004156A7"/>
    <w:rsid w:val="00427A65"/>
    <w:rsid w:val="0045570C"/>
    <w:rsid w:val="00456F71"/>
    <w:rsid w:val="00467835"/>
    <w:rsid w:val="0048146C"/>
    <w:rsid w:val="00481D01"/>
    <w:rsid w:val="00483772"/>
    <w:rsid w:val="00491F72"/>
    <w:rsid w:val="0049270B"/>
    <w:rsid w:val="0049623A"/>
    <w:rsid w:val="004C105A"/>
    <w:rsid w:val="004E4AE7"/>
    <w:rsid w:val="00500644"/>
    <w:rsid w:val="00520F75"/>
    <w:rsid w:val="00564F64"/>
    <w:rsid w:val="005A6855"/>
    <w:rsid w:val="005E4649"/>
    <w:rsid w:val="005E5D10"/>
    <w:rsid w:val="006128A8"/>
    <w:rsid w:val="006240D0"/>
    <w:rsid w:val="0063405E"/>
    <w:rsid w:val="00674A87"/>
    <w:rsid w:val="006848E0"/>
    <w:rsid w:val="0069128E"/>
    <w:rsid w:val="006A5804"/>
    <w:rsid w:val="006B5D3E"/>
    <w:rsid w:val="006E6ACF"/>
    <w:rsid w:val="006F2311"/>
    <w:rsid w:val="007217C2"/>
    <w:rsid w:val="007261F6"/>
    <w:rsid w:val="007371BB"/>
    <w:rsid w:val="0074246A"/>
    <w:rsid w:val="00766D50"/>
    <w:rsid w:val="0077303B"/>
    <w:rsid w:val="007862D4"/>
    <w:rsid w:val="00793244"/>
    <w:rsid w:val="007B1049"/>
    <w:rsid w:val="007D0C65"/>
    <w:rsid w:val="007D413B"/>
    <w:rsid w:val="007D5790"/>
    <w:rsid w:val="00802BCD"/>
    <w:rsid w:val="00813B06"/>
    <w:rsid w:val="00815A31"/>
    <w:rsid w:val="00816897"/>
    <w:rsid w:val="008315E7"/>
    <w:rsid w:val="00881FC9"/>
    <w:rsid w:val="008852B9"/>
    <w:rsid w:val="008A562E"/>
    <w:rsid w:val="008B0CF1"/>
    <w:rsid w:val="008C2842"/>
    <w:rsid w:val="008C4286"/>
    <w:rsid w:val="008F2095"/>
    <w:rsid w:val="009452AA"/>
    <w:rsid w:val="0096097D"/>
    <w:rsid w:val="0098307F"/>
    <w:rsid w:val="009A4F55"/>
    <w:rsid w:val="009A747E"/>
    <w:rsid w:val="009C26EB"/>
    <w:rsid w:val="009C6F92"/>
    <w:rsid w:val="009E061B"/>
    <w:rsid w:val="009F617C"/>
    <w:rsid w:val="00A07BD4"/>
    <w:rsid w:val="00A27422"/>
    <w:rsid w:val="00A5219D"/>
    <w:rsid w:val="00A559E3"/>
    <w:rsid w:val="00A77DE8"/>
    <w:rsid w:val="00A948ED"/>
    <w:rsid w:val="00AC4ED5"/>
    <w:rsid w:val="00B133E2"/>
    <w:rsid w:val="00B13801"/>
    <w:rsid w:val="00B3695C"/>
    <w:rsid w:val="00B3758B"/>
    <w:rsid w:val="00B61BDA"/>
    <w:rsid w:val="00B64B22"/>
    <w:rsid w:val="00B65A28"/>
    <w:rsid w:val="00B66AE9"/>
    <w:rsid w:val="00B876BB"/>
    <w:rsid w:val="00B91A15"/>
    <w:rsid w:val="00BC16B8"/>
    <w:rsid w:val="00C10092"/>
    <w:rsid w:val="00C11A52"/>
    <w:rsid w:val="00C40F3A"/>
    <w:rsid w:val="00C4261B"/>
    <w:rsid w:val="00CB02C3"/>
    <w:rsid w:val="00CD1594"/>
    <w:rsid w:val="00CE50A6"/>
    <w:rsid w:val="00CE7207"/>
    <w:rsid w:val="00D16797"/>
    <w:rsid w:val="00D346F8"/>
    <w:rsid w:val="00D35ECA"/>
    <w:rsid w:val="00D6548A"/>
    <w:rsid w:val="00D714AB"/>
    <w:rsid w:val="00D9639C"/>
    <w:rsid w:val="00DD5FD5"/>
    <w:rsid w:val="00DE3603"/>
    <w:rsid w:val="00DE7AEB"/>
    <w:rsid w:val="00DE7BC1"/>
    <w:rsid w:val="00E1345C"/>
    <w:rsid w:val="00E37BAA"/>
    <w:rsid w:val="00E6537A"/>
    <w:rsid w:val="00E7674A"/>
    <w:rsid w:val="00E903F3"/>
    <w:rsid w:val="00E9202D"/>
    <w:rsid w:val="00EC2D74"/>
    <w:rsid w:val="00ED4B35"/>
    <w:rsid w:val="00EF5048"/>
    <w:rsid w:val="00F03F89"/>
    <w:rsid w:val="00F13DE6"/>
    <w:rsid w:val="00F1409C"/>
    <w:rsid w:val="00F14C3F"/>
    <w:rsid w:val="00F164F0"/>
    <w:rsid w:val="00F20E24"/>
    <w:rsid w:val="00F220C8"/>
    <w:rsid w:val="00F53DAD"/>
    <w:rsid w:val="00F54537"/>
    <w:rsid w:val="00F62F7B"/>
    <w:rsid w:val="00F65319"/>
    <w:rsid w:val="00F81896"/>
    <w:rsid w:val="00F8428F"/>
    <w:rsid w:val="00FA6051"/>
    <w:rsid w:val="00FE5F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F0F1"/>
  <w15:chartTrackingRefBased/>
  <w15:docId w15:val="{D0EE33C0-BBC0-4D79-98E2-6C47C5D1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4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Bolita,Guión,Viñeta 2,BOLA,Párrafo de lista21,Titulo 8,HOJA,Colorful List Accent 1,Lista vistosa - Énfasis 11,Colorful List - Accent 11,Párrafo de lista (analisis predial),Párrafo de lista3,List Paragraph,Paragrafo elenco1,LISTA"/>
    <w:basedOn w:val="Normal"/>
    <w:link w:val="PrrafodelistaCar"/>
    <w:uiPriority w:val="34"/>
    <w:qFormat/>
    <w:rsid w:val="00D714AB"/>
    <w:pPr>
      <w:ind w:left="720"/>
      <w:contextualSpacing/>
    </w:pPr>
  </w:style>
  <w:style w:type="character" w:customStyle="1" w:styleId="PrrafodelistaCar">
    <w:name w:val="Párrafo de lista Car"/>
    <w:aliases w:val="parrafo Car,Bolita Car,Guión Car,Viñeta 2 Car,BOLA Car,Párrafo de lista21 Car,Titulo 8 Car,HOJA Car,Colorful List Accent 1 Car,Lista vistosa - Énfasis 11 Car,Colorful List - Accent 11 Car,Párrafo de lista (analisis predial) Car"/>
    <w:link w:val="Prrafodelista"/>
    <w:uiPriority w:val="34"/>
    <w:qFormat/>
    <w:rsid w:val="00D714AB"/>
  </w:style>
  <w:style w:type="paragraph" w:styleId="Textonotapie">
    <w:name w:val="footnote text"/>
    <w:aliases w:val="Footnote Text Char Car,texto de nota al pie,Texto nota pie Car Car Car Car Car Car Car Car,Texto nota pie Car Car Car,fn,Footnote Text Char Char Char Char Char Char,Texto nota pie Car Car Car Car Car,ft,Footnote Text Char Char,Car6"/>
    <w:basedOn w:val="Normal"/>
    <w:link w:val="TextonotapieCar"/>
    <w:unhideWhenUsed/>
    <w:qFormat/>
    <w:rsid w:val="00D714AB"/>
    <w:pPr>
      <w:spacing w:after="0" w:line="240" w:lineRule="auto"/>
    </w:pPr>
    <w:rPr>
      <w:sz w:val="20"/>
      <w:szCs w:val="20"/>
    </w:rPr>
  </w:style>
  <w:style w:type="character" w:customStyle="1" w:styleId="TextonotapieCar">
    <w:name w:val="Texto nota pie Car"/>
    <w:aliases w:val="Footnote Text Char Car Car,texto de nota al pie Car,Texto nota pie Car Car Car Car Car Car Car Car Car,Texto nota pie Car Car Car Car,fn Car,Footnote Text Char Char Char Char Char Char Car,Texto nota pie Car Car Car Car Car Car,ft Car"/>
    <w:basedOn w:val="Fuentedeprrafopredeter"/>
    <w:link w:val="Textonotapie"/>
    <w:rsid w:val="00D714AB"/>
    <w:rPr>
      <w:sz w:val="20"/>
      <w:szCs w:val="20"/>
    </w:rPr>
  </w:style>
  <w:style w:type="character" w:styleId="Refdenotaalpie">
    <w:name w:val="footnote reference"/>
    <w:aliases w:val="normal,referencia nota al pie,Texto de nota al pie,Referencia nota al pie,BVI fnr,BVI fnr Car Car,BVI fnr Car,BVI fnr Car Car Car Car,Ref. de nota al pie2,Nota de pie,Ref,de nota al pie,Fußnotenzeichen DISS,16 Point,FC,Pie de Página"/>
    <w:basedOn w:val="Fuentedeprrafopredeter"/>
    <w:unhideWhenUsed/>
    <w:qFormat/>
    <w:rsid w:val="00D714AB"/>
    <w:rPr>
      <w:vertAlign w:val="superscript"/>
    </w:rPr>
  </w:style>
  <w:style w:type="character" w:customStyle="1" w:styleId="normaltextrun">
    <w:name w:val="normaltextrun"/>
    <w:basedOn w:val="Fuentedeprrafopredeter"/>
    <w:rsid w:val="00D714AB"/>
  </w:style>
  <w:style w:type="character" w:customStyle="1" w:styleId="eop">
    <w:name w:val="eop"/>
    <w:basedOn w:val="Fuentedeprrafopredeter"/>
    <w:rsid w:val="00D714AB"/>
  </w:style>
  <w:style w:type="character" w:styleId="Refdecomentario">
    <w:name w:val="annotation reference"/>
    <w:basedOn w:val="Fuentedeprrafopredeter"/>
    <w:uiPriority w:val="99"/>
    <w:semiHidden/>
    <w:unhideWhenUsed/>
    <w:rsid w:val="00D714AB"/>
    <w:rPr>
      <w:sz w:val="16"/>
      <w:szCs w:val="16"/>
    </w:rPr>
  </w:style>
  <w:style w:type="paragraph" w:styleId="Textocomentario">
    <w:name w:val="annotation text"/>
    <w:basedOn w:val="Normal"/>
    <w:link w:val="TextocomentarioCar"/>
    <w:uiPriority w:val="99"/>
    <w:semiHidden/>
    <w:unhideWhenUsed/>
    <w:rsid w:val="00D714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14AB"/>
    <w:rPr>
      <w:sz w:val="20"/>
      <w:szCs w:val="20"/>
    </w:rPr>
  </w:style>
  <w:style w:type="paragraph" w:customStyle="1" w:styleId="Estilo2">
    <w:name w:val="Estilo2"/>
    <w:basedOn w:val="Normal"/>
    <w:qFormat/>
    <w:rsid w:val="00D714AB"/>
    <w:pPr>
      <w:keepNext/>
      <w:numPr>
        <w:numId w:val="13"/>
      </w:numPr>
      <w:shd w:val="clear" w:color="auto" w:fill="B8CCE4"/>
      <w:spacing w:after="0" w:line="240" w:lineRule="auto"/>
      <w:outlineLvl w:val="0"/>
    </w:pPr>
    <w:rPr>
      <w:rFonts w:ascii="Arial" w:eastAsia="Times New Roman" w:hAnsi="Arial" w:cs="Arial"/>
      <w:b/>
      <w:iCs/>
      <w:sz w:val="24"/>
      <w:szCs w:val="24"/>
      <w:lang w:val="es-ES_tradnl" w:eastAsia="x-none"/>
    </w:rPr>
  </w:style>
  <w:style w:type="paragraph" w:styleId="Sinespaciado">
    <w:name w:val="No Spacing"/>
    <w:uiPriority w:val="1"/>
    <w:qFormat/>
    <w:rsid w:val="00D714AB"/>
    <w:pPr>
      <w:suppressAutoHyphens/>
      <w:spacing w:after="0" w:line="240" w:lineRule="auto"/>
    </w:pPr>
    <w:rPr>
      <w:rFonts w:ascii="Times New Roman" w:eastAsia="Times New Roman" w:hAnsi="Times New Roman" w:cs="Times New Roman"/>
      <w:sz w:val="20"/>
      <w:szCs w:val="20"/>
      <w:lang w:val="es-ES" w:eastAsia="zh-CN"/>
    </w:rPr>
  </w:style>
  <w:style w:type="paragraph" w:styleId="Textodeglobo">
    <w:name w:val="Balloon Text"/>
    <w:basedOn w:val="Normal"/>
    <w:link w:val="TextodegloboCar"/>
    <w:uiPriority w:val="99"/>
    <w:semiHidden/>
    <w:unhideWhenUsed/>
    <w:rsid w:val="00D714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14A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2637B1"/>
    <w:rPr>
      <w:b/>
      <w:bCs/>
    </w:rPr>
  </w:style>
  <w:style w:type="character" w:customStyle="1" w:styleId="AsuntodelcomentarioCar">
    <w:name w:val="Asunto del comentario Car"/>
    <w:basedOn w:val="TextocomentarioCar"/>
    <w:link w:val="Asuntodelcomentario"/>
    <w:uiPriority w:val="99"/>
    <w:semiHidden/>
    <w:rsid w:val="002637B1"/>
    <w:rPr>
      <w:b/>
      <w:bCs/>
      <w:sz w:val="20"/>
      <w:szCs w:val="20"/>
    </w:rPr>
  </w:style>
  <w:style w:type="paragraph" w:styleId="Encabezado">
    <w:name w:val="header"/>
    <w:basedOn w:val="Normal"/>
    <w:link w:val="EncabezadoCar"/>
    <w:uiPriority w:val="99"/>
    <w:unhideWhenUsed/>
    <w:rsid w:val="00F62F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F7B"/>
  </w:style>
  <w:style w:type="paragraph" w:styleId="Piedepgina">
    <w:name w:val="footer"/>
    <w:basedOn w:val="Normal"/>
    <w:link w:val="PiedepginaCar"/>
    <w:uiPriority w:val="99"/>
    <w:unhideWhenUsed/>
    <w:rsid w:val="00F62F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orena.caro\Documents\Lorena%20Caro\Presentaciones\Presentaciones_Daniel\20180112_Pol&#237;tica%20de%20Seguridad%20Convivencia%20y%20Justic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orena.caro\Documents\Lorena%20Caro\Requerimientos\empalme.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ria.ramos\Downloads\Copia%20de%20&#218;ltimas%20gr&#225;ficas%20para%20informe%20de%20empalme%201809201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Lbl>
              <c:idx val="6"/>
              <c:layout>
                <c:manualLayout>
                  <c:x val="-1.7290107157821605E-2"/>
                  <c:y val="-4.136503306271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EF-4C1E-8EC2-55EEAFE89242}"/>
                </c:ext>
              </c:extLst>
            </c:dLbl>
            <c:dLbl>
              <c:idx val="1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EF-4C1E-8EC2-55EEAFE89242}"/>
                </c:ext>
              </c:extLst>
            </c:dLbl>
            <c:dLbl>
              <c:idx val="43"/>
              <c:layout>
                <c:manualLayout>
                  <c:x val="-6.6500412145467716E-3"/>
                  <c:y val="4.1365033062712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EF-4C1E-8EC2-55EEAFE892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'tasa homicidios_medicina legal_'!$B$7:$B$50</c:f>
              <c:numCache>
                <c:formatCode>General</c:formatCode>
                <c:ptCount val="44"/>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numCache>
            </c:numRef>
          </c:cat>
          <c:val>
            <c:numRef>
              <c:f>'tasa homicidios_medicina legal_'!$E$7:$E$50</c:f>
              <c:numCache>
                <c:formatCode>0.0</c:formatCode>
                <c:ptCount val="44"/>
                <c:pt idx="0">
                  <c:v>10.5</c:v>
                </c:pt>
                <c:pt idx="1">
                  <c:v>12</c:v>
                </c:pt>
                <c:pt idx="2">
                  <c:v>11</c:v>
                </c:pt>
                <c:pt idx="3">
                  <c:v>11</c:v>
                </c:pt>
                <c:pt idx="4">
                  <c:v>15</c:v>
                </c:pt>
                <c:pt idx="5">
                  <c:v>17</c:v>
                </c:pt>
                <c:pt idx="6">
                  <c:v>25</c:v>
                </c:pt>
                <c:pt idx="7">
                  <c:v>20</c:v>
                </c:pt>
                <c:pt idx="8">
                  <c:v>16</c:v>
                </c:pt>
                <c:pt idx="9">
                  <c:v>17</c:v>
                </c:pt>
                <c:pt idx="10">
                  <c:v>23.5</c:v>
                </c:pt>
                <c:pt idx="11">
                  <c:v>30</c:v>
                </c:pt>
                <c:pt idx="12">
                  <c:v>30</c:v>
                </c:pt>
                <c:pt idx="13">
                  <c:v>32</c:v>
                </c:pt>
                <c:pt idx="14">
                  <c:v>41</c:v>
                </c:pt>
                <c:pt idx="15">
                  <c:v>41</c:v>
                </c:pt>
                <c:pt idx="16">
                  <c:v>55.9</c:v>
                </c:pt>
                <c:pt idx="17">
                  <c:v>63.2</c:v>
                </c:pt>
                <c:pt idx="18">
                  <c:v>79</c:v>
                </c:pt>
                <c:pt idx="19">
                  <c:v>69.7</c:v>
                </c:pt>
                <c:pt idx="20">
                  <c:v>58.9</c:v>
                </c:pt>
                <c:pt idx="21">
                  <c:v>56.5</c:v>
                </c:pt>
                <c:pt idx="22">
                  <c:v>47.1</c:v>
                </c:pt>
                <c:pt idx="23">
                  <c:v>40.5</c:v>
                </c:pt>
                <c:pt idx="24">
                  <c:v>39</c:v>
                </c:pt>
                <c:pt idx="25">
                  <c:v>38</c:v>
                </c:pt>
                <c:pt idx="26">
                  <c:v>32</c:v>
                </c:pt>
                <c:pt idx="27">
                  <c:v>28</c:v>
                </c:pt>
                <c:pt idx="28">
                  <c:v>25</c:v>
                </c:pt>
                <c:pt idx="29">
                  <c:v>22.7</c:v>
                </c:pt>
                <c:pt idx="30">
                  <c:v>24</c:v>
                </c:pt>
                <c:pt idx="31">
                  <c:v>19</c:v>
                </c:pt>
                <c:pt idx="32">
                  <c:v>20</c:v>
                </c:pt>
                <c:pt idx="33">
                  <c:v>21</c:v>
                </c:pt>
                <c:pt idx="34">
                  <c:v>22.7</c:v>
                </c:pt>
                <c:pt idx="35">
                  <c:v>23.669902232303997</c:v>
                </c:pt>
                <c:pt idx="36">
                  <c:v>22.148412036523723</c:v>
                </c:pt>
                <c:pt idx="37">
                  <c:v>16.945470058490269</c:v>
                </c:pt>
                <c:pt idx="38">
                  <c:v>16.717993382124334</c:v>
                </c:pt>
                <c:pt idx="39">
                  <c:v>17.539246313897216</c:v>
                </c:pt>
                <c:pt idx="40">
                  <c:v>17.41385693704218</c:v>
                </c:pt>
                <c:pt idx="41">
                  <c:v>16.31578742909932</c:v>
                </c:pt>
                <c:pt idx="42">
                  <c:v>14.231380466180424</c:v>
                </c:pt>
                <c:pt idx="43">
                  <c:v>13.31125465970309</c:v>
                </c:pt>
              </c:numCache>
            </c:numRef>
          </c:val>
          <c:smooth val="0"/>
          <c:extLst>
            <c:ext xmlns:c16="http://schemas.microsoft.com/office/drawing/2014/chart" uri="{C3380CC4-5D6E-409C-BE32-E72D297353CC}">
              <c16:uniqueId val="{00000003-61EF-4C1E-8EC2-55EEAFE89242}"/>
            </c:ext>
          </c:extLst>
        </c:ser>
        <c:ser>
          <c:idx val="1"/>
          <c:order val="1"/>
          <c:spPr>
            <a:ln w="28575" cap="rnd">
              <a:solidFill>
                <a:schemeClr val="tx2"/>
              </a:solidFill>
              <a:round/>
            </a:ln>
            <a:effectLst/>
          </c:spPr>
          <c:marker>
            <c:symbol val="none"/>
          </c:marker>
          <c:dLbls>
            <c:dLbl>
              <c:idx val="27"/>
              <c:layout>
                <c:manualLayout>
                  <c:x val="-4.1230255530189983E-2"/>
                  <c:y val="-3.8607364191865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EF-4C1E-8EC2-55EEAFE892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'tasa homicidios_medicina legal_'!$F$7:$F$50</c:f>
              <c:numCache>
                <c:formatCode>0</c:formatCode>
                <c:ptCount val="44"/>
                <c:pt idx="0">
                  <c:v>14</c:v>
                </c:pt>
                <c:pt idx="1">
                  <c:v>14</c:v>
                </c:pt>
                <c:pt idx="2">
                  <c:v>14</c:v>
                </c:pt>
                <c:pt idx="3">
                  <c:v>14</c:v>
                </c:pt>
                <c:pt idx="4">
                  <c:v>14</c:v>
                </c:pt>
                <c:pt idx="5">
                  <c:v>14</c:v>
                </c:pt>
                <c:pt idx="6">
                  <c:v>14</c:v>
                </c:pt>
                <c:pt idx="7">
                  <c:v>14</c:v>
                </c:pt>
                <c:pt idx="8">
                  <c:v>14</c:v>
                </c:pt>
                <c:pt idx="9">
                  <c:v>14</c:v>
                </c:pt>
                <c:pt idx="10">
                  <c:v>14</c:v>
                </c:pt>
                <c:pt idx="11">
                  <c:v>14</c:v>
                </c:pt>
                <c:pt idx="12">
                  <c:v>14</c:v>
                </c:pt>
                <c:pt idx="13">
                  <c:v>14</c:v>
                </c:pt>
                <c:pt idx="14">
                  <c:v>14</c:v>
                </c:pt>
                <c:pt idx="15">
                  <c:v>14</c:v>
                </c:pt>
                <c:pt idx="16">
                  <c:v>14</c:v>
                </c:pt>
                <c:pt idx="17">
                  <c:v>14</c:v>
                </c:pt>
                <c:pt idx="18">
                  <c:v>14</c:v>
                </c:pt>
                <c:pt idx="19">
                  <c:v>14</c:v>
                </c:pt>
                <c:pt idx="20">
                  <c:v>14</c:v>
                </c:pt>
                <c:pt idx="21">
                  <c:v>14</c:v>
                </c:pt>
                <c:pt idx="22">
                  <c:v>14</c:v>
                </c:pt>
                <c:pt idx="23">
                  <c:v>14</c:v>
                </c:pt>
                <c:pt idx="24">
                  <c:v>14</c:v>
                </c:pt>
                <c:pt idx="25">
                  <c:v>14</c:v>
                </c:pt>
                <c:pt idx="26">
                  <c:v>14</c:v>
                </c:pt>
                <c:pt idx="27">
                  <c:v>14</c:v>
                </c:pt>
                <c:pt idx="28">
                  <c:v>14</c:v>
                </c:pt>
                <c:pt idx="29">
                  <c:v>14</c:v>
                </c:pt>
                <c:pt idx="30">
                  <c:v>14</c:v>
                </c:pt>
                <c:pt idx="31">
                  <c:v>14</c:v>
                </c:pt>
                <c:pt idx="32">
                  <c:v>14</c:v>
                </c:pt>
                <c:pt idx="33">
                  <c:v>14</c:v>
                </c:pt>
                <c:pt idx="34">
                  <c:v>14</c:v>
                </c:pt>
                <c:pt idx="35">
                  <c:v>14</c:v>
                </c:pt>
                <c:pt idx="36">
                  <c:v>14</c:v>
                </c:pt>
                <c:pt idx="37">
                  <c:v>14</c:v>
                </c:pt>
                <c:pt idx="38">
                  <c:v>14</c:v>
                </c:pt>
                <c:pt idx="39">
                  <c:v>14</c:v>
                </c:pt>
                <c:pt idx="40">
                  <c:v>14</c:v>
                </c:pt>
                <c:pt idx="41">
                  <c:v>14</c:v>
                </c:pt>
                <c:pt idx="42">
                  <c:v>14</c:v>
                </c:pt>
                <c:pt idx="43">
                  <c:v>14</c:v>
                </c:pt>
              </c:numCache>
            </c:numRef>
          </c:val>
          <c:smooth val="0"/>
          <c:extLst>
            <c:ext xmlns:c16="http://schemas.microsoft.com/office/drawing/2014/chart" uri="{C3380CC4-5D6E-409C-BE32-E72D297353CC}">
              <c16:uniqueId val="{00000005-61EF-4C1E-8EC2-55EEAFE89242}"/>
            </c:ext>
          </c:extLst>
        </c:ser>
        <c:dLbls>
          <c:showLegendKey val="0"/>
          <c:showVal val="0"/>
          <c:showCatName val="0"/>
          <c:showSerName val="0"/>
          <c:showPercent val="0"/>
          <c:showBubbleSize val="0"/>
        </c:dLbls>
        <c:smooth val="0"/>
        <c:axId val="275454424"/>
        <c:axId val="275455600"/>
      </c:lineChart>
      <c:catAx>
        <c:axId val="275454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275455600"/>
        <c:crosses val="autoZero"/>
        <c:auto val="1"/>
        <c:lblAlgn val="ctr"/>
        <c:lblOffset val="100"/>
        <c:noMultiLvlLbl val="0"/>
      </c:catAx>
      <c:valAx>
        <c:axId val="275455600"/>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2754544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277951508607245E-2"/>
          <c:y val="8.0637746368660432E-2"/>
          <c:w val="0.90017457608927898"/>
          <c:h val="0.61498432487605714"/>
        </c:manualLayout>
      </c:layout>
      <c:barChart>
        <c:barDir val="col"/>
        <c:grouping val="stacked"/>
        <c:varyColors val="0"/>
        <c:ser>
          <c:idx val="0"/>
          <c:order val="0"/>
          <c:tx>
            <c:v>Numero de homicidios </c:v>
          </c:tx>
          <c:spPr>
            <a:solidFill>
              <a:schemeClr val="tx2"/>
            </a:solidFill>
            <a:ln>
              <a:solidFill>
                <a:schemeClr val="tx2"/>
              </a:solidFill>
            </a:ln>
            <a:effectLst/>
          </c:spPr>
          <c:invertIfNegative val="0"/>
          <c:dLbls>
            <c:dLbl>
              <c:idx val="0"/>
              <c:layout>
                <c:manualLayout>
                  <c:x val="-3.1262215649225139E-3"/>
                  <c:y val="-0.3069306930693069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07-4937-B938-5ABE2DFFE54D}"/>
                </c:ext>
              </c:extLst>
            </c:dLbl>
            <c:dLbl>
              <c:idx val="1"/>
              <c:layout>
                <c:manualLayout>
                  <c:x val="-1.5631107824613144E-3"/>
                  <c:y val="-0.2838283828382838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07-4937-B938-5ABE2DFFE54D}"/>
                </c:ext>
              </c:extLst>
            </c:dLbl>
            <c:dLbl>
              <c:idx val="2"/>
              <c:layout>
                <c:manualLayout>
                  <c:x val="-1.563110782461257E-3"/>
                  <c:y val="-0.2607260726072607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07-4937-B938-5ABE2DFFE54D}"/>
                </c:ext>
              </c:extLst>
            </c:dLbl>
            <c:dLbl>
              <c:idx val="3"/>
              <c:layout>
                <c:manualLayout>
                  <c:x val="7.1903095993217703E-2"/>
                  <c:y val="-2.640264026402652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07-4937-B938-5ABE2DFFE5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Hoja1!$D$7:$D$10</c:f>
              <c:strCache>
                <c:ptCount val="4"/>
                <c:pt idx="0">
                  <c:v>2016</c:v>
                </c:pt>
                <c:pt idx="1">
                  <c:v>2017</c:v>
                </c:pt>
                <c:pt idx="2">
                  <c:v>2018</c:v>
                </c:pt>
                <c:pt idx="3">
                  <c:v>2019 (ene-sept)</c:v>
                </c:pt>
              </c:strCache>
            </c:strRef>
          </c:cat>
          <c:val>
            <c:numRef>
              <c:f>Hoja1!$E$7:$E$10</c:f>
              <c:numCache>
                <c:formatCode>General</c:formatCode>
                <c:ptCount val="4"/>
                <c:pt idx="0">
                  <c:v>1266</c:v>
                </c:pt>
                <c:pt idx="1">
                  <c:v>1137</c:v>
                </c:pt>
                <c:pt idx="2">
                  <c:v>1064</c:v>
                </c:pt>
                <c:pt idx="3">
                  <c:v>736</c:v>
                </c:pt>
              </c:numCache>
            </c:numRef>
          </c:val>
          <c:extLst>
            <c:ext xmlns:c16="http://schemas.microsoft.com/office/drawing/2014/chart" uri="{C3380CC4-5D6E-409C-BE32-E72D297353CC}">
              <c16:uniqueId val="{00000004-AC07-4937-B938-5ABE2DFFE54D}"/>
            </c:ext>
          </c:extLst>
        </c:ser>
        <c:ser>
          <c:idx val="1"/>
          <c:order val="1"/>
          <c:tx>
            <c:v>Número de homicidios restante para alcanzar la meta</c:v>
          </c:tx>
          <c:spPr>
            <a:solidFill>
              <a:schemeClr val="accent1">
                <a:lumMod val="40000"/>
                <a:lumOff val="60000"/>
              </a:schemeClr>
            </a:solidFill>
            <a:ln>
              <a:solidFill>
                <a:schemeClr val="tx2"/>
              </a:solidFill>
            </a:ln>
            <a:effectLst/>
          </c:spPr>
          <c:invertIfNegative val="0"/>
          <c:dLbls>
            <c:dLbl>
              <c:idx val="3"/>
              <c:layout>
                <c:manualLayout>
                  <c:x val="7.033998521075644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07-4937-B938-5ABE2DFFE5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Hoja1!$D$7:$D$10</c:f>
              <c:strCache>
                <c:ptCount val="4"/>
                <c:pt idx="0">
                  <c:v>2016</c:v>
                </c:pt>
                <c:pt idx="1">
                  <c:v>2017</c:v>
                </c:pt>
                <c:pt idx="2">
                  <c:v>2018</c:v>
                </c:pt>
                <c:pt idx="3">
                  <c:v>2019 (ene-sept)</c:v>
                </c:pt>
              </c:strCache>
            </c:strRef>
          </c:cat>
          <c:val>
            <c:numRef>
              <c:f>Hoja1!$F$7:$F$10</c:f>
              <c:numCache>
                <c:formatCode>General</c:formatCode>
                <c:ptCount val="4"/>
                <c:pt idx="3" formatCode="0">
                  <c:v>257.72360000000003</c:v>
                </c:pt>
              </c:numCache>
            </c:numRef>
          </c:val>
          <c:extLst>
            <c:ext xmlns:c16="http://schemas.microsoft.com/office/drawing/2014/chart" uri="{C3380CC4-5D6E-409C-BE32-E72D297353CC}">
              <c16:uniqueId val="{00000006-AC07-4937-B938-5ABE2DFFE54D}"/>
            </c:ext>
          </c:extLst>
        </c:ser>
        <c:dLbls>
          <c:showLegendKey val="0"/>
          <c:showVal val="0"/>
          <c:showCatName val="0"/>
          <c:showSerName val="0"/>
          <c:showPercent val="0"/>
          <c:showBubbleSize val="0"/>
        </c:dLbls>
        <c:gapWidth val="150"/>
        <c:overlap val="100"/>
        <c:axId val="275450504"/>
        <c:axId val="275450896"/>
      </c:barChart>
      <c:lineChart>
        <c:grouping val="standard"/>
        <c:varyColors val="0"/>
        <c:ser>
          <c:idx val="2"/>
          <c:order val="2"/>
          <c:tx>
            <c:strRef>
              <c:f>Hoja1!$G$6</c:f>
              <c:strCache>
                <c:ptCount val="1"/>
                <c:pt idx="0">
                  <c:v>Tasa por 100.000 hab</c:v>
                </c:pt>
              </c:strCache>
            </c:strRef>
          </c:tx>
          <c:spPr>
            <a:ln w="28575" cap="rnd">
              <a:noFill/>
              <a:round/>
            </a:ln>
            <a:effectLst/>
          </c:spPr>
          <c:marker>
            <c:symbol val="circle"/>
            <c:size val="5"/>
            <c:spPr>
              <a:solidFill>
                <a:schemeClr val="accent3"/>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Hoja1!$H$7:$H$10</c:f>
              <c:numCache>
                <c:formatCode>0.0</c:formatCode>
                <c:ptCount val="4"/>
                <c:pt idx="0">
                  <c:v>15.864659666082749</c:v>
                </c:pt>
                <c:pt idx="1">
                  <c:v>14.07050399134534</c:v>
                </c:pt>
                <c:pt idx="2">
                  <c:v>13.00567030112405</c:v>
                </c:pt>
                <c:pt idx="3">
                  <c:v>12</c:v>
                </c:pt>
              </c:numCache>
            </c:numRef>
          </c:val>
          <c:smooth val="0"/>
          <c:extLst>
            <c:ext xmlns:c16="http://schemas.microsoft.com/office/drawing/2014/chart" uri="{C3380CC4-5D6E-409C-BE32-E72D297353CC}">
              <c16:uniqueId val="{00000007-AC07-4937-B938-5ABE2DFFE54D}"/>
            </c:ext>
          </c:extLst>
        </c:ser>
        <c:dLbls>
          <c:showLegendKey val="0"/>
          <c:showVal val="0"/>
          <c:showCatName val="0"/>
          <c:showSerName val="0"/>
          <c:showPercent val="0"/>
          <c:showBubbleSize val="0"/>
        </c:dLbls>
        <c:marker val="1"/>
        <c:smooth val="0"/>
        <c:axId val="275455992"/>
        <c:axId val="275459128"/>
      </c:lineChart>
      <c:catAx>
        <c:axId val="275450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275450896"/>
        <c:crosses val="autoZero"/>
        <c:auto val="1"/>
        <c:lblAlgn val="ctr"/>
        <c:lblOffset val="100"/>
        <c:noMultiLvlLbl val="0"/>
      </c:catAx>
      <c:valAx>
        <c:axId val="27545089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crossAx val="275450504"/>
        <c:crosses val="autoZero"/>
        <c:crossBetween val="between"/>
      </c:valAx>
      <c:valAx>
        <c:axId val="275459128"/>
        <c:scaling>
          <c:orientation val="minMax"/>
          <c:max val="25"/>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5455992"/>
        <c:crosses val="max"/>
        <c:crossBetween val="between"/>
      </c:valAx>
      <c:catAx>
        <c:axId val="275455992"/>
        <c:scaling>
          <c:orientation val="minMax"/>
        </c:scaling>
        <c:delete val="1"/>
        <c:axPos val="b"/>
        <c:majorTickMark val="out"/>
        <c:minorTickMark val="none"/>
        <c:tickLblPos val="nextTo"/>
        <c:crossAx val="275459128"/>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Entry>
      <c:layout>
        <c:manualLayout>
          <c:xMode val="edge"/>
          <c:yMode val="edge"/>
          <c:x val="5.8491161109952908E-3"/>
          <c:y val="0.74797544119694082"/>
          <c:w val="0.99415088388900474"/>
          <c:h val="0.25202455880305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lesiones!$G$3</c:f>
              <c:strCache>
                <c:ptCount val="1"/>
                <c:pt idx="0">
                  <c:v>SIEDCO Denuncia convencional</c:v>
                </c:pt>
              </c:strCache>
            </c:strRef>
          </c:tx>
          <c:spPr>
            <a:ln w="28575" cap="rnd">
              <a:solidFill>
                <a:schemeClr val="accent1"/>
              </a:solidFill>
              <a:round/>
            </a:ln>
            <a:effectLst/>
          </c:spPr>
          <c:marker>
            <c:symbol val="none"/>
          </c:marker>
          <c:cat>
            <c:multiLvlStrRef>
              <c:f>lesiones!$C$4:$D$117</c:f>
              <c:multiLvlStrCache>
                <c:ptCount val="114"/>
                <c:lvl>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Enero</c:v>
                  </c:pt>
                  <c:pt idx="13">
                    <c:v>Febrero</c:v>
                  </c:pt>
                  <c:pt idx="14">
                    <c:v>Marzo</c:v>
                  </c:pt>
                  <c:pt idx="15">
                    <c:v>Abril</c:v>
                  </c:pt>
                  <c:pt idx="16">
                    <c:v>Mayo</c:v>
                  </c:pt>
                  <c:pt idx="17">
                    <c:v>Junio</c:v>
                  </c:pt>
                  <c:pt idx="18">
                    <c:v>Julio</c:v>
                  </c:pt>
                  <c:pt idx="19">
                    <c:v>Agosto</c:v>
                  </c:pt>
                  <c:pt idx="20">
                    <c:v>Septiembre</c:v>
                  </c:pt>
                  <c:pt idx="21">
                    <c:v>Octubre</c:v>
                  </c:pt>
                  <c:pt idx="22">
                    <c:v>Noviembre</c:v>
                  </c:pt>
                  <c:pt idx="23">
                    <c:v>Diciembre</c:v>
                  </c:pt>
                  <c:pt idx="24">
                    <c:v>Enero</c:v>
                  </c:pt>
                  <c:pt idx="25">
                    <c:v>Febrero</c:v>
                  </c:pt>
                  <c:pt idx="26">
                    <c:v>Marzo</c:v>
                  </c:pt>
                  <c:pt idx="27">
                    <c:v>Abril</c:v>
                  </c:pt>
                  <c:pt idx="28">
                    <c:v>Mayo</c:v>
                  </c:pt>
                  <c:pt idx="29">
                    <c:v>Junio</c:v>
                  </c:pt>
                  <c:pt idx="30">
                    <c:v>Julio</c:v>
                  </c:pt>
                  <c:pt idx="31">
                    <c:v>Agosto</c:v>
                  </c:pt>
                  <c:pt idx="32">
                    <c:v>Septiembre</c:v>
                  </c:pt>
                  <c:pt idx="33">
                    <c:v>Octubre</c:v>
                  </c:pt>
                  <c:pt idx="34">
                    <c:v>Noviembre</c:v>
                  </c:pt>
                  <c:pt idx="35">
                    <c:v>Diciembre</c:v>
                  </c:pt>
                  <c:pt idx="36">
                    <c:v>Enero</c:v>
                  </c:pt>
                  <c:pt idx="37">
                    <c:v>Febrero</c:v>
                  </c:pt>
                  <c:pt idx="38">
                    <c:v>Marzo</c:v>
                  </c:pt>
                  <c:pt idx="39">
                    <c:v>Abril</c:v>
                  </c:pt>
                  <c:pt idx="40">
                    <c:v>Mayo</c:v>
                  </c:pt>
                  <c:pt idx="41">
                    <c:v>Junio</c:v>
                  </c:pt>
                  <c:pt idx="42">
                    <c:v>Julio</c:v>
                  </c:pt>
                  <c:pt idx="43">
                    <c:v>Agosto</c:v>
                  </c:pt>
                  <c:pt idx="44">
                    <c:v>Septiembre</c:v>
                  </c:pt>
                  <c:pt idx="45">
                    <c:v>Octubre</c:v>
                  </c:pt>
                  <c:pt idx="46">
                    <c:v>Noviembre</c:v>
                  </c:pt>
                  <c:pt idx="47">
                    <c:v>Diciembre</c:v>
                  </c:pt>
                  <c:pt idx="48">
                    <c:v>Enero</c:v>
                  </c:pt>
                  <c:pt idx="49">
                    <c:v>Febrero</c:v>
                  </c:pt>
                  <c:pt idx="50">
                    <c:v>Marzo</c:v>
                  </c:pt>
                  <c:pt idx="51">
                    <c:v>Abril</c:v>
                  </c:pt>
                  <c:pt idx="52">
                    <c:v>Mayo</c:v>
                  </c:pt>
                  <c:pt idx="53">
                    <c:v>Junio</c:v>
                  </c:pt>
                  <c:pt idx="54">
                    <c:v>Julio</c:v>
                  </c:pt>
                  <c:pt idx="55">
                    <c:v>Agosto</c:v>
                  </c:pt>
                  <c:pt idx="56">
                    <c:v>Septiembre</c:v>
                  </c:pt>
                  <c:pt idx="57">
                    <c:v>Octubre</c:v>
                  </c:pt>
                  <c:pt idx="58">
                    <c:v>Noviembre</c:v>
                  </c:pt>
                  <c:pt idx="59">
                    <c:v>Diciembre</c:v>
                  </c:pt>
                  <c:pt idx="60">
                    <c:v>Enero</c:v>
                  </c:pt>
                  <c:pt idx="61">
                    <c:v>Febrero</c:v>
                  </c:pt>
                  <c:pt idx="62">
                    <c:v>Marzo</c:v>
                  </c:pt>
                  <c:pt idx="63">
                    <c:v>Abril</c:v>
                  </c:pt>
                  <c:pt idx="64">
                    <c:v>Mayo</c:v>
                  </c:pt>
                  <c:pt idx="65">
                    <c:v>Junio</c:v>
                  </c:pt>
                  <c:pt idx="66">
                    <c:v>Julio</c:v>
                  </c:pt>
                  <c:pt idx="67">
                    <c:v>Agosto</c:v>
                  </c:pt>
                  <c:pt idx="68">
                    <c:v>Septiembre</c:v>
                  </c:pt>
                  <c:pt idx="69">
                    <c:v>Octubre</c:v>
                  </c:pt>
                  <c:pt idx="70">
                    <c:v>Noviembre</c:v>
                  </c:pt>
                  <c:pt idx="71">
                    <c:v>Diciembre</c:v>
                  </c:pt>
                  <c:pt idx="72">
                    <c:v>Enero</c:v>
                  </c:pt>
                  <c:pt idx="73">
                    <c:v>Febrero</c:v>
                  </c:pt>
                  <c:pt idx="74">
                    <c:v>Marzo</c:v>
                  </c:pt>
                  <c:pt idx="75">
                    <c:v>Abril</c:v>
                  </c:pt>
                  <c:pt idx="76">
                    <c:v>Mayo</c:v>
                  </c:pt>
                  <c:pt idx="77">
                    <c:v>Junio</c:v>
                  </c:pt>
                  <c:pt idx="78">
                    <c:v>Julio</c:v>
                  </c:pt>
                  <c:pt idx="79">
                    <c:v>Agosto</c:v>
                  </c:pt>
                  <c:pt idx="80">
                    <c:v>Septiembre</c:v>
                  </c:pt>
                  <c:pt idx="81">
                    <c:v>Octubre</c:v>
                  </c:pt>
                  <c:pt idx="82">
                    <c:v>Noviembre</c:v>
                  </c:pt>
                  <c:pt idx="83">
                    <c:v>Diciembre</c:v>
                  </c:pt>
                  <c:pt idx="84">
                    <c:v>Enero</c:v>
                  </c:pt>
                  <c:pt idx="85">
                    <c:v>Febrero</c:v>
                  </c:pt>
                  <c:pt idx="86">
                    <c:v>Marzo</c:v>
                  </c:pt>
                  <c:pt idx="87">
                    <c:v>Abril</c:v>
                  </c:pt>
                  <c:pt idx="88">
                    <c:v>Mayo</c:v>
                  </c:pt>
                  <c:pt idx="89">
                    <c:v>Junio</c:v>
                  </c:pt>
                  <c:pt idx="90">
                    <c:v>Julio</c:v>
                  </c:pt>
                  <c:pt idx="91">
                    <c:v>Agosto</c:v>
                  </c:pt>
                  <c:pt idx="92">
                    <c:v>Septiembre</c:v>
                  </c:pt>
                  <c:pt idx="93">
                    <c:v>Octubre</c:v>
                  </c:pt>
                  <c:pt idx="94">
                    <c:v>Noviembre</c:v>
                  </c:pt>
                  <c:pt idx="95">
                    <c:v>Diciembre</c:v>
                  </c:pt>
                  <c:pt idx="96">
                    <c:v>Enero</c:v>
                  </c:pt>
                  <c:pt idx="97">
                    <c:v>Febrero</c:v>
                  </c:pt>
                  <c:pt idx="98">
                    <c:v>Marzo</c:v>
                  </c:pt>
                  <c:pt idx="99">
                    <c:v>Abril</c:v>
                  </c:pt>
                  <c:pt idx="100">
                    <c:v>Mayo</c:v>
                  </c:pt>
                  <c:pt idx="101">
                    <c:v>Junio</c:v>
                  </c:pt>
                  <c:pt idx="102">
                    <c:v>Julio</c:v>
                  </c:pt>
                  <c:pt idx="103">
                    <c:v>Agosto</c:v>
                  </c:pt>
                  <c:pt idx="104">
                    <c:v>Septiembre</c:v>
                  </c:pt>
                  <c:pt idx="105">
                    <c:v>Octubre</c:v>
                  </c:pt>
                  <c:pt idx="106">
                    <c:v>Noviembre</c:v>
                  </c:pt>
                  <c:pt idx="107">
                    <c:v>Diciembre</c:v>
                  </c:pt>
                  <c:pt idx="108">
                    <c:v>Enero</c:v>
                  </c:pt>
                  <c:pt idx="109">
                    <c:v>Febrero</c:v>
                  </c:pt>
                  <c:pt idx="110">
                    <c:v>Marzo</c:v>
                  </c:pt>
                  <c:pt idx="111">
                    <c:v>Abril</c:v>
                  </c:pt>
                  <c:pt idx="112">
                    <c:v>Mayo</c:v>
                  </c:pt>
                  <c:pt idx="113">
                    <c:v>Junio</c:v>
                  </c:pt>
                </c:lvl>
                <c:lvl>
                  <c:pt idx="0">
                    <c:v>2010</c:v>
                  </c:pt>
                  <c:pt idx="12">
                    <c:v>2011</c:v>
                  </c:pt>
                  <c:pt idx="24">
                    <c:v>2012</c:v>
                  </c:pt>
                  <c:pt idx="36">
                    <c:v>2013</c:v>
                  </c:pt>
                  <c:pt idx="48">
                    <c:v>2014</c:v>
                  </c:pt>
                  <c:pt idx="60">
                    <c:v>2015</c:v>
                  </c:pt>
                  <c:pt idx="72">
                    <c:v>2016</c:v>
                  </c:pt>
                  <c:pt idx="84">
                    <c:v>2017</c:v>
                  </c:pt>
                  <c:pt idx="96">
                    <c:v>2018</c:v>
                  </c:pt>
                  <c:pt idx="108">
                    <c:v>2019</c:v>
                  </c:pt>
                </c:lvl>
              </c:multiLvlStrCache>
            </c:multiLvlStrRef>
          </c:cat>
          <c:val>
            <c:numRef>
              <c:f>lesiones!$G$4:$G$118</c:f>
              <c:numCache>
                <c:formatCode>General</c:formatCode>
                <c:ptCount val="115"/>
                <c:pt idx="0">
                  <c:v>794</c:v>
                </c:pt>
                <c:pt idx="1">
                  <c:v>794</c:v>
                </c:pt>
                <c:pt idx="2">
                  <c:v>906</c:v>
                </c:pt>
                <c:pt idx="3">
                  <c:v>761</c:v>
                </c:pt>
                <c:pt idx="4">
                  <c:v>877</c:v>
                </c:pt>
                <c:pt idx="5">
                  <c:v>778</c:v>
                </c:pt>
                <c:pt idx="6">
                  <c:v>767</c:v>
                </c:pt>
                <c:pt idx="7">
                  <c:v>738</c:v>
                </c:pt>
                <c:pt idx="8">
                  <c:v>766</c:v>
                </c:pt>
                <c:pt idx="9">
                  <c:v>754</c:v>
                </c:pt>
                <c:pt idx="10">
                  <c:v>610</c:v>
                </c:pt>
                <c:pt idx="11">
                  <c:v>698</c:v>
                </c:pt>
                <c:pt idx="12">
                  <c:v>686</c:v>
                </c:pt>
                <c:pt idx="13">
                  <c:v>794</c:v>
                </c:pt>
                <c:pt idx="14">
                  <c:v>789</c:v>
                </c:pt>
                <c:pt idx="15">
                  <c:v>914</c:v>
                </c:pt>
                <c:pt idx="16">
                  <c:v>959</c:v>
                </c:pt>
                <c:pt idx="17">
                  <c:v>882</c:v>
                </c:pt>
                <c:pt idx="18">
                  <c:v>879</c:v>
                </c:pt>
                <c:pt idx="19">
                  <c:v>926</c:v>
                </c:pt>
                <c:pt idx="20">
                  <c:v>733</c:v>
                </c:pt>
                <c:pt idx="21">
                  <c:v>760</c:v>
                </c:pt>
                <c:pt idx="22">
                  <c:v>903</c:v>
                </c:pt>
                <c:pt idx="23">
                  <c:v>1077</c:v>
                </c:pt>
                <c:pt idx="24">
                  <c:v>1357</c:v>
                </c:pt>
                <c:pt idx="25">
                  <c:v>1060</c:v>
                </c:pt>
                <c:pt idx="26">
                  <c:v>1073</c:v>
                </c:pt>
                <c:pt idx="27">
                  <c:v>1439</c:v>
                </c:pt>
                <c:pt idx="28">
                  <c:v>1051</c:v>
                </c:pt>
                <c:pt idx="29">
                  <c:v>1182</c:v>
                </c:pt>
                <c:pt idx="30">
                  <c:v>2218</c:v>
                </c:pt>
                <c:pt idx="31">
                  <c:v>1023</c:v>
                </c:pt>
                <c:pt idx="32">
                  <c:v>823</c:v>
                </c:pt>
                <c:pt idx="33">
                  <c:v>865</c:v>
                </c:pt>
                <c:pt idx="34">
                  <c:v>1251</c:v>
                </c:pt>
                <c:pt idx="35">
                  <c:v>1102</c:v>
                </c:pt>
                <c:pt idx="36">
                  <c:v>1433</c:v>
                </c:pt>
                <c:pt idx="37">
                  <c:v>1384</c:v>
                </c:pt>
                <c:pt idx="38">
                  <c:v>920</c:v>
                </c:pt>
                <c:pt idx="39">
                  <c:v>954</c:v>
                </c:pt>
                <c:pt idx="40">
                  <c:v>941</c:v>
                </c:pt>
                <c:pt idx="41">
                  <c:v>800</c:v>
                </c:pt>
                <c:pt idx="42">
                  <c:v>942</c:v>
                </c:pt>
                <c:pt idx="43">
                  <c:v>923</c:v>
                </c:pt>
                <c:pt idx="44">
                  <c:v>825</c:v>
                </c:pt>
                <c:pt idx="45">
                  <c:v>868</c:v>
                </c:pt>
                <c:pt idx="46">
                  <c:v>914</c:v>
                </c:pt>
                <c:pt idx="47">
                  <c:v>1224</c:v>
                </c:pt>
                <c:pt idx="48">
                  <c:v>1364</c:v>
                </c:pt>
                <c:pt idx="49">
                  <c:v>1089</c:v>
                </c:pt>
                <c:pt idx="50">
                  <c:v>1081</c:v>
                </c:pt>
                <c:pt idx="51">
                  <c:v>854</c:v>
                </c:pt>
                <c:pt idx="52">
                  <c:v>917</c:v>
                </c:pt>
                <c:pt idx="53">
                  <c:v>1075</c:v>
                </c:pt>
                <c:pt idx="54">
                  <c:v>1325</c:v>
                </c:pt>
                <c:pt idx="55">
                  <c:v>1264</c:v>
                </c:pt>
                <c:pt idx="56">
                  <c:v>1028</c:v>
                </c:pt>
                <c:pt idx="57">
                  <c:v>927</c:v>
                </c:pt>
                <c:pt idx="58">
                  <c:v>901</c:v>
                </c:pt>
                <c:pt idx="59">
                  <c:v>895</c:v>
                </c:pt>
                <c:pt idx="60">
                  <c:v>1423</c:v>
                </c:pt>
                <c:pt idx="61">
                  <c:v>1422</c:v>
                </c:pt>
                <c:pt idx="62">
                  <c:v>1140</c:v>
                </c:pt>
                <c:pt idx="63">
                  <c:v>787</c:v>
                </c:pt>
                <c:pt idx="64">
                  <c:v>1334</c:v>
                </c:pt>
                <c:pt idx="65">
                  <c:v>1522</c:v>
                </c:pt>
                <c:pt idx="66">
                  <c:v>1167</c:v>
                </c:pt>
                <c:pt idx="67">
                  <c:v>1030</c:v>
                </c:pt>
                <c:pt idx="68">
                  <c:v>901</c:v>
                </c:pt>
                <c:pt idx="69">
                  <c:v>782</c:v>
                </c:pt>
                <c:pt idx="70">
                  <c:v>950</c:v>
                </c:pt>
                <c:pt idx="71">
                  <c:v>888</c:v>
                </c:pt>
                <c:pt idx="72">
                  <c:v>891</c:v>
                </c:pt>
                <c:pt idx="73">
                  <c:v>856</c:v>
                </c:pt>
                <c:pt idx="74">
                  <c:v>1064</c:v>
                </c:pt>
                <c:pt idx="75">
                  <c:v>788</c:v>
                </c:pt>
                <c:pt idx="76">
                  <c:v>768</c:v>
                </c:pt>
                <c:pt idx="77">
                  <c:v>739</c:v>
                </c:pt>
                <c:pt idx="78">
                  <c:v>817</c:v>
                </c:pt>
                <c:pt idx="79">
                  <c:v>680</c:v>
                </c:pt>
                <c:pt idx="80">
                  <c:v>721</c:v>
                </c:pt>
                <c:pt idx="81">
                  <c:v>650</c:v>
                </c:pt>
                <c:pt idx="82">
                  <c:v>629</c:v>
                </c:pt>
                <c:pt idx="83">
                  <c:v>653</c:v>
                </c:pt>
                <c:pt idx="84">
                  <c:v>666</c:v>
                </c:pt>
                <c:pt idx="85">
                  <c:v>617</c:v>
                </c:pt>
                <c:pt idx="86">
                  <c:v>646</c:v>
                </c:pt>
                <c:pt idx="87">
                  <c:v>784</c:v>
                </c:pt>
                <c:pt idx="88">
                  <c:v>1004</c:v>
                </c:pt>
                <c:pt idx="89">
                  <c:v>900</c:v>
                </c:pt>
                <c:pt idx="90">
                  <c:v>1098</c:v>
                </c:pt>
                <c:pt idx="91">
                  <c:v>925</c:v>
                </c:pt>
                <c:pt idx="92">
                  <c:v>944</c:v>
                </c:pt>
                <c:pt idx="93">
                  <c:v>893</c:v>
                </c:pt>
                <c:pt idx="94">
                  <c:v>882</c:v>
                </c:pt>
                <c:pt idx="95">
                  <c:v>705</c:v>
                </c:pt>
                <c:pt idx="96">
                  <c:v>719</c:v>
                </c:pt>
                <c:pt idx="97">
                  <c:v>900</c:v>
                </c:pt>
                <c:pt idx="98">
                  <c:v>941</c:v>
                </c:pt>
                <c:pt idx="99">
                  <c:v>912</c:v>
                </c:pt>
                <c:pt idx="100">
                  <c:v>937</c:v>
                </c:pt>
                <c:pt idx="101">
                  <c:v>1080</c:v>
                </c:pt>
                <c:pt idx="102">
                  <c:v>941</c:v>
                </c:pt>
                <c:pt idx="103">
                  <c:v>988</c:v>
                </c:pt>
                <c:pt idx="104">
                  <c:v>883</c:v>
                </c:pt>
                <c:pt idx="105">
                  <c:v>989</c:v>
                </c:pt>
                <c:pt idx="106">
                  <c:v>950</c:v>
                </c:pt>
                <c:pt idx="107">
                  <c:v>962</c:v>
                </c:pt>
                <c:pt idx="108">
                  <c:v>844</c:v>
                </c:pt>
                <c:pt idx="109">
                  <c:v>873</c:v>
                </c:pt>
                <c:pt idx="110">
                  <c:v>1255</c:v>
                </c:pt>
                <c:pt idx="111">
                  <c:v>927</c:v>
                </c:pt>
                <c:pt idx="112">
                  <c:v>1119</c:v>
                </c:pt>
                <c:pt idx="113">
                  <c:v>960</c:v>
                </c:pt>
              </c:numCache>
            </c:numRef>
          </c:val>
          <c:smooth val="0"/>
          <c:extLst>
            <c:ext xmlns:c16="http://schemas.microsoft.com/office/drawing/2014/chart" uri="{C3380CC4-5D6E-409C-BE32-E72D297353CC}">
              <c16:uniqueId val="{00000000-B894-4D3E-8CC9-5EE59E1DBCB3}"/>
            </c:ext>
          </c:extLst>
        </c:ser>
        <c:ser>
          <c:idx val="1"/>
          <c:order val="1"/>
          <c:tx>
            <c:strRef>
              <c:f>lesiones!$H$3</c:f>
              <c:strCache>
                <c:ptCount val="1"/>
                <c:pt idx="0">
                  <c:v>SIEDCO + SPOA</c:v>
                </c:pt>
              </c:strCache>
            </c:strRef>
          </c:tx>
          <c:spPr>
            <a:ln w="28575" cap="rnd">
              <a:solidFill>
                <a:schemeClr val="tx2"/>
              </a:solidFill>
              <a:round/>
            </a:ln>
            <a:effectLst/>
          </c:spPr>
          <c:marker>
            <c:symbol val="none"/>
          </c:marker>
          <c:cat>
            <c:multiLvlStrRef>
              <c:f>lesiones!$C$4:$D$117</c:f>
              <c:multiLvlStrCache>
                <c:ptCount val="114"/>
                <c:lvl>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Enero</c:v>
                  </c:pt>
                  <c:pt idx="13">
                    <c:v>Febrero</c:v>
                  </c:pt>
                  <c:pt idx="14">
                    <c:v>Marzo</c:v>
                  </c:pt>
                  <c:pt idx="15">
                    <c:v>Abril</c:v>
                  </c:pt>
                  <c:pt idx="16">
                    <c:v>Mayo</c:v>
                  </c:pt>
                  <c:pt idx="17">
                    <c:v>Junio</c:v>
                  </c:pt>
                  <c:pt idx="18">
                    <c:v>Julio</c:v>
                  </c:pt>
                  <c:pt idx="19">
                    <c:v>Agosto</c:v>
                  </c:pt>
                  <c:pt idx="20">
                    <c:v>Septiembre</c:v>
                  </c:pt>
                  <c:pt idx="21">
                    <c:v>Octubre</c:v>
                  </c:pt>
                  <c:pt idx="22">
                    <c:v>Noviembre</c:v>
                  </c:pt>
                  <c:pt idx="23">
                    <c:v>Diciembre</c:v>
                  </c:pt>
                  <c:pt idx="24">
                    <c:v>Enero</c:v>
                  </c:pt>
                  <c:pt idx="25">
                    <c:v>Febrero</c:v>
                  </c:pt>
                  <c:pt idx="26">
                    <c:v>Marzo</c:v>
                  </c:pt>
                  <c:pt idx="27">
                    <c:v>Abril</c:v>
                  </c:pt>
                  <c:pt idx="28">
                    <c:v>Mayo</c:v>
                  </c:pt>
                  <c:pt idx="29">
                    <c:v>Junio</c:v>
                  </c:pt>
                  <c:pt idx="30">
                    <c:v>Julio</c:v>
                  </c:pt>
                  <c:pt idx="31">
                    <c:v>Agosto</c:v>
                  </c:pt>
                  <c:pt idx="32">
                    <c:v>Septiembre</c:v>
                  </c:pt>
                  <c:pt idx="33">
                    <c:v>Octubre</c:v>
                  </c:pt>
                  <c:pt idx="34">
                    <c:v>Noviembre</c:v>
                  </c:pt>
                  <c:pt idx="35">
                    <c:v>Diciembre</c:v>
                  </c:pt>
                  <c:pt idx="36">
                    <c:v>Enero</c:v>
                  </c:pt>
                  <c:pt idx="37">
                    <c:v>Febrero</c:v>
                  </c:pt>
                  <c:pt idx="38">
                    <c:v>Marzo</c:v>
                  </c:pt>
                  <c:pt idx="39">
                    <c:v>Abril</c:v>
                  </c:pt>
                  <c:pt idx="40">
                    <c:v>Mayo</c:v>
                  </c:pt>
                  <c:pt idx="41">
                    <c:v>Junio</c:v>
                  </c:pt>
                  <c:pt idx="42">
                    <c:v>Julio</c:v>
                  </c:pt>
                  <c:pt idx="43">
                    <c:v>Agosto</c:v>
                  </c:pt>
                  <c:pt idx="44">
                    <c:v>Septiembre</c:v>
                  </c:pt>
                  <c:pt idx="45">
                    <c:v>Octubre</c:v>
                  </c:pt>
                  <c:pt idx="46">
                    <c:v>Noviembre</c:v>
                  </c:pt>
                  <c:pt idx="47">
                    <c:v>Diciembre</c:v>
                  </c:pt>
                  <c:pt idx="48">
                    <c:v>Enero</c:v>
                  </c:pt>
                  <c:pt idx="49">
                    <c:v>Febrero</c:v>
                  </c:pt>
                  <c:pt idx="50">
                    <c:v>Marzo</c:v>
                  </c:pt>
                  <c:pt idx="51">
                    <c:v>Abril</c:v>
                  </c:pt>
                  <c:pt idx="52">
                    <c:v>Mayo</c:v>
                  </c:pt>
                  <c:pt idx="53">
                    <c:v>Junio</c:v>
                  </c:pt>
                  <c:pt idx="54">
                    <c:v>Julio</c:v>
                  </c:pt>
                  <c:pt idx="55">
                    <c:v>Agosto</c:v>
                  </c:pt>
                  <c:pt idx="56">
                    <c:v>Septiembre</c:v>
                  </c:pt>
                  <c:pt idx="57">
                    <c:v>Octubre</c:v>
                  </c:pt>
                  <c:pt idx="58">
                    <c:v>Noviembre</c:v>
                  </c:pt>
                  <c:pt idx="59">
                    <c:v>Diciembre</c:v>
                  </c:pt>
                  <c:pt idx="60">
                    <c:v>Enero</c:v>
                  </c:pt>
                  <c:pt idx="61">
                    <c:v>Febrero</c:v>
                  </c:pt>
                  <c:pt idx="62">
                    <c:v>Marzo</c:v>
                  </c:pt>
                  <c:pt idx="63">
                    <c:v>Abril</c:v>
                  </c:pt>
                  <c:pt idx="64">
                    <c:v>Mayo</c:v>
                  </c:pt>
                  <c:pt idx="65">
                    <c:v>Junio</c:v>
                  </c:pt>
                  <c:pt idx="66">
                    <c:v>Julio</c:v>
                  </c:pt>
                  <c:pt idx="67">
                    <c:v>Agosto</c:v>
                  </c:pt>
                  <c:pt idx="68">
                    <c:v>Septiembre</c:v>
                  </c:pt>
                  <c:pt idx="69">
                    <c:v>Octubre</c:v>
                  </c:pt>
                  <c:pt idx="70">
                    <c:v>Noviembre</c:v>
                  </c:pt>
                  <c:pt idx="71">
                    <c:v>Diciembre</c:v>
                  </c:pt>
                  <c:pt idx="72">
                    <c:v>Enero</c:v>
                  </c:pt>
                  <c:pt idx="73">
                    <c:v>Febrero</c:v>
                  </c:pt>
                  <c:pt idx="74">
                    <c:v>Marzo</c:v>
                  </c:pt>
                  <c:pt idx="75">
                    <c:v>Abril</c:v>
                  </c:pt>
                  <c:pt idx="76">
                    <c:v>Mayo</c:v>
                  </c:pt>
                  <c:pt idx="77">
                    <c:v>Junio</c:v>
                  </c:pt>
                  <c:pt idx="78">
                    <c:v>Julio</c:v>
                  </c:pt>
                  <c:pt idx="79">
                    <c:v>Agosto</c:v>
                  </c:pt>
                  <c:pt idx="80">
                    <c:v>Septiembre</c:v>
                  </c:pt>
                  <c:pt idx="81">
                    <c:v>Octubre</c:v>
                  </c:pt>
                  <c:pt idx="82">
                    <c:v>Noviembre</c:v>
                  </c:pt>
                  <c:pt idx="83">
                    <c:v>Diciembre</c:v>
                  </c:pt>
                  <c:pt idx="84">
                    <c:v>Enero</c:v>
                  </c:pt>
                  <c:pt idx="85">
                    <c:v>Febrero</c:v>
                  </c:pt>
                  <c:pt idx="86">
                    <c:v>Marzo</c:v>
                  </c:pt>
                  <c:pt idx="87">
                    <c:v>Abril</c:v>
                  </c:pt>
                  <c:pt idx="88">
                    <c:v>Mayo</c:v>
                  </c:pt>
                  <c:pt idx="89">
                    <c:v>Junio</c:v>
                  </c:pt>
                  <c:pt idx="90">
                    <c:v>Julio</c:v>
                  </c:pt>
                  <c:pt idx="91">
                    <c:v>Agosto</c:v>
                  </c:pt>
                  <c:pt idx="92">
                    <c:v>Septiembre</c:v>
                  </c:pt>
                  <c:pt idx="93">
                    <c:v>Octubre</c:v>
                  </c:pt>
                  <c:pt idx="94">
                    <c:v>Noviembre</c:v>
                  </c:pt>
                  <c:pt idx="95">
                    <c:v>Diciembre</c:v>
                  </c:pt>
                  <c:pt idx="96">
                    <c:v>Enero</c:v>
                  </c:pt>
                  <c:pt idx="97">
                    <c:v>Febrero</c:v>
                  </c:pt>
                  <c:pt idx="98">
                    <c:v>Marzo</c:v>
                  </c:pt>
                  <c:pt idx="99">
                    <c:v>Abril</c:v>
                  </c:pt>
                  <c:pt idx="100">
                    <c:v>Mayo</c:v>
                  </c:pt>
                  <c:pt idx="101">
                    <c:v>Junio</c:v>
                  </c:pt>
                  <c:pt idx="102">
                    <c:v>Julio</c:v>
                  </c:pt>
                  <c:pt idx="103">
                    <c:v>Agosto</c:v>
                  </c:pt>
                  <c:pt idx="104">
                    <c:v>Septiembre</c:v>
                  </c:pt>
                  <c:pt idx="105">
                    <c:v>Octubre</c:v>
                  </c:pt>
                  <c:pt idx="106">
                    <c:v>Noviembre</c:v>
                  </c:pt>
                  <c:pt idx="107">
                    <c:v>Diciembre</c:v>
                  </c:pt>
                  <c:pt idx="108">
                    <c:v>Enero</c:v>
                  </c:pt>
                  <c:pt idx="109">
                    <c:v>Febrero</c:v>
                  </c:pt>
                  <c:pt idx="110">
                    <c:v>Marzo</c:v>
                  </c:pt>
                  <c:pt idx="111">
                    <c:v>Abril</c:v>
                  </c:pt>
                  <c:pt idx="112">
                    <c:v>Mayo</c:v>
                  </c:pt>
                  <c:pt idx="113">
                    <c:v>Junio</c:v>
                  </c:pt>
                </c:lvl>
                <c:lvl>
                  <c:pt idx="0">
                    <c:v>2010</c:v>
                  </c:pt>
                  <c:pt idx="12">
                    <c:v>2011</c:v>
                  </c:pt>
                  <c:pt idx="24">
                    <c:v>2012</c:v>
                  </c:pt>
                  <c:pt idx="36">
                    <c:v>2013</c:v>
                  </c:pt>
                  <c:pt idx="48">
                    <c:v>2014</c:v>
                  </c:pt>
                  <c:pt idx="60">
                    <c:v>2015</c:v>
                  </c:pt>
                  <c:pt idx="72">
                    <c:v>2016</c:v>
                  </c:pt>
                  <c:pt idx="84">
                    <c:v>2017</c:v>
                  </c:pt>
                  <c:pt idx="96">
                    <c:v>2018</c:v>
                  </c:pt>
                  <c:pt idx="108">
                    <c:v>2019</c:v>
                  </c:pt>
                </c:lvl>
              </c:multiLvlStrCache>
            </c:multiLvlStrRef>
          </c:cat>
          <c:val>
            <c:numRef>
              <c:f>lesiones!$H$4:$H$118</c:f>
              <c:numCache>
                <c:formatCode>General</c:formatCode>
                <c:ptCount val="115"/>
                <c:pt idx="71">
                  <c:v>888</c:v>
                </c:pt>
                <c:pt idx="72">
                  <c:v>955</c:v>
                </c:pt>
                <c:pt idx="73">
                  <c:v>2212</c:v>
                </c:pt>
                <c:pt idx="74">
                  <c:v>2348</c:v>
                </c:pt>
                <c:pt idx="75">
                  <c:v>1713</c:v>
                </c:pt>
                <c:pt idx="76">
                  <c:v>1606</c:v>
                </c:pt>
                <c:pt idx="77">
                  <c:v>1497</c:v>
                </c:pt>
                <c:pt idx="78">
                  <c:v>1648</c:v>
                </c:pt>
                <c:pt idx="79">
                  <c:v>1670</c:v>
                </c:pt>
                <c:pt idx="80">
                  <c:v>1646</c:v>
                </c:pt>
                <c:pt idx="81">
                  <c:v>1555</c:v>
                </c:pt>
                <c:pt idx="82">
                  <c:v>1390</c:v>
                </c:pt>
                <c:pt idx="83">
                  <c:v>1477</c:v>
                </c:pt>
                <c:pt idx="84">
                  <c:v>1602</c:v>
                </c:pt>
                <c:pt idx="85">
                  <c:v>1739</c:v>
                </c:pt>
                <c:pt idx="86">
                  <c:v>1961</c:v>
                </c:pt>
                <c:pt idx="87">
                  <c:v>1986</c:v>
                </c:pt>
                <c:pt idx="88">
                  <c:v>2147</c:v>
                </c:pt>
                <c:pt idx="89">
                  <c:v>2047</c:v>
                </c:pt>
                <c:pt idx="90">
                  <c:v>2372</c:v>
                </c:pt>
                <c:pt idx="91">
                  <c:v>2182</c:v>
                </c:pt>
                <c:pt idx="92">
                  <c:v>2346</c:v>
                </c:pt>
                <c:pt idx="93">
                  <c:v>2372</c:v>
                </c:pt>
                <c:pt idx="94">
                  <c:v>2370</c:v>
                </c:pt>
                <c:pt idx="95">
                  <c:v>1953</c:v>
                </c:pt>
                <c:pt idx="96">
                  <c:v>2102</c:v>
                </c:pt>
                <c:pt idx="97">
                  <c:v>2913</c:v>
                </c:pt>
                <c:pt idx="98">
                  <c:v>2872</c:v>
                </c:pt>
                <c:pt idx="99">
                  <c:v>2456</c:v>
                </c:pt>
                <c:pt idx="100">
                  <c:v>2192</c:v>
                </c:pt>
                <c:pt idx="101">
                  <c:v>2222</c:v>
                </c:pt>
                <c:pt idx="102">
                  <c:v>2250</c:v>
                </c:pt>
                <c:pt idx="103">
                  <c:v>2161</c:v>
                </c:pt>
                <c:pt idx="104">
                  <c:v>2177</c:v>
                </c:pt>
                <c:pt idx="105">
                  <c:v>2037</c:v>
                </c:pt>
                <c:pt idx="106">
                  <c:v>1847</c:v>
                </c:pt>
                <c:pt idx="107">
                  <c:v>2078</c:v>
                </c:pt>
                <c:pt idx="108">
                  <c:v>1653</c:v>
                </c:pt>
                <c:pt idx="109">
                  <c:v>1849</c:v>
                </c:pt>
                <c:pt idx="110">
                  <c:v>2491</c:v>
                </c:pt>
                <c:pt idx="111">
                  <c:v>1797</c:v>
                </c:pt>
                <c:pt idx="112">
                  <c:v>2309</c:v>
                </c:pt>
                <c:pt idx="113">
                  <c:v>1899</c:v>
                </c:pt>
              </c:numCache>
            </c:numRef>
          </c:val>
          <c:smooth val="0"/>
          <c:extLst>
            <c:ext xmlns:c16="http://schemas.microsoft.com/office/drawing/2014/chart" uri="{C3380CC4-5D6E-409C-BE32-E72D297353CC}">
              <c16:uniqueId val="{00000001-B894-4D3E-8CC9-5EE59E1DBCB3}"/>
            </c:ext>
          </c:extLst>
        </c:ser>
        <c:ser>
          <c:idx val="2"/>
          <c:order val="2"/>
          <c:tx>
            <c:v>promedio 2010-2015</c:v>
          </c:tx>
          <c:spPr>
            <a:ln w="28575" cap="rnd">
              <a:solidFill>
                <a:schemeClr val="accent3"/>
              </a:solidFill>
              <a:round/>
            </a:ln>
            <a:effectLst/>
          </c:spPr>
          <c:marker>
            <c:symbol val="none"/>
          </c:marker>
          <c:dLbls>
            <c:dLbl>
              <c:idx val="71"/>
              <c:layout>
                <c:manualLayout>
                  <c:x val="-0.10451307716449114"/>
                  <c:y val="5.3804126501127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94-4D3E-8CC9-5EE59E1DBCB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lesiones!$I$4:$I$75</c:f>
              <c:numCache>
                <c:formatCode>0</c:formatCode>
                <c:ptCount val="72"/>
                <c:pt idx="0">
                  <c:v>1002.5416666666666</c:v>
                </c:pt>
                <c:pt idx="1">
                  <c:v>1002.5416666666666</c:v>
                </c:pt>
                <c:pt idx="2">
                  <c:v>1002.5416666666666</c:v>
                </c:pt>
                <c:pt idx="3">
                  <c:v>1002.5416666666666</c:v>
                </c:pt>
                <c:pt idx="4">
                  <c:v>1002.5416666666666</c:v>
                </c:pt>
                <c:pt idx="5">
                  <c:v>1002.5416666666666</c:v>
                </c:pt>
                <c:pt idx="6">
                  <c:v>1002.5416666666666</c:v>
                </c:pt>
                <c:pt idx="7">
                  <c:v>1002.5416666666666</c:v>
                </c:pt>
                <c:pt idx="8">
                  <c:v>1002.5416666666666</c:v>
                </c:pt>
                <c:pt idx="9">
                  <c:v>1002.5416666666666</c:v>
                </c:pt>
                <c:pt idx="10">
                  <c:v>1002.5416666666666</c:v>
                </c:pt>
                <c:pt idx="11">
                  <c:v>1002.5416666666666</c:v>
                </c:pt>
                <c:pt idx="12">
                  <c:v>1002.5416666666666</c:v>
                </c:pt>
                <c:pt idx="13">
                  <c:v>1002.5416666666666</c:v>
                </c:pt>
                <c:pt idx="14">
                  <c:v>1002.5416666666666</c:v>
                </c:pt>
                <c:pt idx="15">
                  <c:v>1002.5416666666666</c:v>
                </c:pt>
                <c:pt idx="16">
                  <c:v>1002.5416666666666</c:v>
                </c:pt>
                <c:pt idx="17">
                  <c:v>1002.5416666666666</c:v>
                </c:pt>
                <c:pt idx="18">
                  <c:v>1002.5416666666666</c:v>
                </c:pt>
                <c:pt idx="19">
                  <c:v>1002.5416666666666</c:v>
                </c:pt>
                <c:pt idx="20">
                  <c:v>1002.5416666666666</c:v>
                </c:pt>
                <c:pt idx="21">
                  <c:v>1002.5416666666666</c:v>
                </c:pt>
                <c:pt idx="22">
                  <c:v>1002.5416666666666</c:v>
                </c:pt>
                <c:pt idx="23">
                  <c:v>1002.5416666666666</c:v>
                </c:pt>
                <c:pt idx="24">
                  <c:v>1002.5416666666666</c:v>
                </c:pt>
                <c:pt idx="25">
                  <c:v>1002.5416666666666</c:v>
                </c:pt>
                <c:pt idx="26">
                  <c:v>1002.5416666666666</c:v>
                </c:pt>
                <c:pt idx="27">
                  <c:v>1002.5416666666666</c:v>
                </c:pt>
                <c:pt idx="28">
                  <c:v>1002.5416666666666</c:v>
                </c:pt>
                <c:pt idx="29">
                  <c:v>1002.5416666666666</c:v>
                </c:pt>
                <c:pt idx="30">
                  <c:v>1002.5416666666666</c:v>
                </c:pt>
                <c:pt idx="31">
                  <c:v>1002.5416666666666</c:v>
                </c:pt>
                <c:pt idx="32">
                  <c:v>1002.5416666666666</c:v>
                </c:pt>
                <c:pt idx="33">
                  <c:v>1002.5416666666666</c:v>
                </c:pt>
                <c:pt idx="34">
                  <c:v>1002.5416666666666</c:v>
                </c:pt>
                <c:pt idx="35">
                  <c:v>1002.5416666666666</c:v>
                </c:pt>
                <c:pt idx="36">
                  <c:v>1002.5416666666666</c:v>
                </c:pt>
                <c:pt idx="37">
                  <c:v>1002.5416666666666</c:v>
                </c:pt>
                <c:pt idx="38">
                  <c:v>1002.5416666666666</c:v>
                </c:pt>
                <c:pt idx="39">
                  <c:v>1002.5416666666666</c:v>
                </c:pt>
                <c:pt idx="40">
                  <c:v>1002.5416666666666</c:v>
                </c:pt>
                <c:pt idx="41">
                  <c:v>1002.5416666666666</c:v>
                </c:pt>
                <c:pt idx="42">
                  <c:v>1002.5416666666666</c:v>
                </c:pt>
                <c:pt idx="43">
                  <c:v>1002.5416666666666</c:v>
                </c:pt>
                <c:pt idx="44">
                  <c:v>1002.5416666666666</c:v>
                </c:pt>
                <c:pt idx="45">
                  <c:v>1002.5416666666666</c:v>
                </c:pt>
                <c:pt idx="46">
                  <c:v>1002.5416666666666</c:v>
                </c:pt>
                <c:pt idx="47">
                  <c:v>1002.5416666666666</c:v>
                </c:pt>
                <c:pt idx="48">
                  <c:v>1002.5416666666666</c:v>
                </c:pt>
                <c:pt idx="49">
                  <c:v>1002.5416666666666</c:v>
                </c:pt>
                <c:pt idx="50">
                  <c:v>1002.5416666666666</c:v>
                </c:pt>
                <c:pt idx="51">
                  <c:v>1002.5416666666666</c:v>
                </c:pt>
                <c:pt idx="52">
                  <c:v>1002.5416666666666</c:v>
                </c:pt>
                <c:pt idx="53">
                  <c:v>1002.5416666666666</c:v>
                </c:pt>
                <c:pt idx="54">
                  <c:v>1002.5416666666666</c:v>
                </c:pt>
                <c:pt idx="55">
                  <c:v>1002.5416666666666</c:v>
                </c:pt>
                <c:pt idx="56">
                  <c:v>1002.5416666666666</c:v>
                </c:pt>
                <c:pt idx="57">
                  <c:v>1002.5416666666666</c:v>
                </c:pt>
                <c:pt idx="58">
                  <c:v>1002.5416666666666</c:v>
                </c:pt>
                <c:pt idx="59">
                  <c:v>1002.5416666666666</c:v>
                </c:pt>
                <c:pt idx="60">
                  <c:v>1002.5416666666666</c:v>
                </c:pt>
                <c:pt idx="61">
                  <c:v>1002.5416666666666</c:v>
                </c:pt>
                <c:pt idx="62">
                  <c:v>1002.5416666666666</c:v>
                </c:pt>
                <c:pt idx="63">
                  <c:v>1002.5416666666666</c:v>
                </c:pt>
                <c:pt idx="64">
                  <c:v>1002.5416666666666</c:v>
                </c:pt>
                <c:pt idx="65">
                  <c:v>1002.5416666666666</c:v>
                </c:pt>
                <c:pt idx="66">
                  <c:v>1002.5416666666666</c:v>
                </c:pt>
                <c:pt idx="67">
                  <c:v>1002.5416666666666</c:v>
                </c:pt>
                <c:pt idx="68">
                  <c:v>1002.5416666666666</c:v>
                </c:pt>
                <c:pt idx="69">
                  <c:v>1002.5416666666666</c:v>
                </c:pt>
                <c:pt idx="70">
                  <c:v>1002.5416666666666</c:v>
                </c:pt>
                <c:pt idx="71">
                  <c:v>1002.5416666666666</c:v>
                </c:pt>
              </c:numCache>
            </c:numRef>
          </c:val>
          <c:smooth val="0"/>
          <c:extLst>
            <c:ext xmlns:c16="http://schemas.microsoft.com/office/drawing/2014/chart" uri="{C3380CC4-5D6E-409C-BE32-E72D297353CC}">
              <c16:uniqueId val="{00000003-B894-4D3E-8CC9-5EE59E1DBCB3}"/>
            </c:ext>
          </c:extLst>
        </c:ser>
        <c:ser>
          <c:idx val="3"/>
          <c:order val="3"/>
          <c:tx>
            <c:v>promedio 2016-2019</c:v>
          </c:tx>
          <c:spPr>
            <a:ln w="28575" cap="rnd">
              <a:solidFill>
                <a:schemeClr val="accent4"/>
              </a:solidFill>
              <a:round/>
            </a:ln>
            <a:effectLst/>
          </c:spPr>
          <c:marker>
            <c:symbol val="none"/>
          </c:marker>
          <c:dLbls>
            <c:dLbl>
              <c:idx val="100"/>
              <c:layout>
                <c:manualLayout>
                  <c:x val="-4.7505944165677792E-2"/>
                  <c:y val="5.04413685948067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94-4D3E-8CC9-5EE59E1DBCB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lesiones!$J$4:$J$117</c:f>
              <c:numCache>
                <c:formatCode>General</c:formatCode>
                <c:ptCount val="114"/>
                <c:pt idx="72" formatCode="0">
                  <c:v>2002.3571428571429</c:v>
                </c:pt>
                <c:pt idx="73" formatCode="0">
                  <c:v>2002.3571428571429</c:v>
                </c:pt>
                <c:pt idx="74" formatCode="0">
                  <c:v>2002.3571428571429</c:v>
                </c:pt>
                <c:pt idx="75" formatCode="0">
                  <c:v>2002.3571428571429</c:v>
                </c:pt>
                <c:pt idx="76" formatCode="0">
                  <c:v>2002.3571428571429</c:v>
                </c:pt>
                <c:pt idx="77" formatCode="0">
                  <c:v>2002.3571428571429</c:v>
                </c:pt>
                <c:pt idx="78" formatCode="0">
                  <c:v>2002.3571428571429</c:v>
                </c:pt>
                <c:pt idx="79" formatCode="0">
                  <c:v>2002.3571428571429</c:v>
                </c:pt>
                <c:pt idx="80" formatCode="0">
                  <c:v>2002.3571428571429</c:v>
                </c:pt>
                <c:pt idx="81" formatCode="0">
                  <c:v>2002.3571428571429</c:v>
                </c:pt>
                <c:pt idx="82" formatCode="0">
                  <c:v>2002.3571428571429</c:v>
                </c:pt>
                <c:pt idx="83" formatCode="0">
                  <c:v>2002.3571428571429</c:v>
                </c:pt>
                <c:pt idx="84" formatCode="0">
                  <c:v>2002.3571428571429</c:v>
                </c:pt>
                <c:pt idx="85" formatCode="0">
                  <c:v>2002.3571428571429</c:v>
                </c:pt>
                <c:pt idx="86" formatCode="0">
                  <c:v>2002.3571428571429</c:v>
                </c:pt>
                <c:pt idx="87" formatCode="0">
                  <c:v>2002.3571428571429</c:v>
                </c:pt>
                <c:pt idx="88" formatCode="0">
                  <c:v>2002.3571428571429</c:v>
                </c:pt>
                <c:pt idx="89" formatCode="0">
                  <c:v>2002.3571428571429</c:v>
                </c:pt>
                <c:pt idx="90" formatCode="0">
                  <c:v>2002.3571428571429</c:v>
                </c:pt>
                <c:pt idx="91" formatCode="0">
                  <c:v>2002.3571428571429</c:v>
                </c:pt>
                <c:pt idx="92" formatCode="0">
                  <c:v>2002.3571428571429</c:v>
                </c:pt>
                <c:pt idx="93" formatCode="0">
                  <c:v>2002.3571428571429</c:v>
                </c:pt>
                <c:pt idx="94" formatCode="0">
                  <c:v>2002.3571428571429</c:v>
                </c:pt>
                <c:pt idx="95" formatCode="0">
                  <c:v>2002.3571428571429</c:v>
                </c:pt>
                <c:pt idx="96" formatCode="0">
                  <c:v>2002.3571428571429</c:v>
                </c:pt>
                <c:pt idx="97" formatCode="0">
                  <c:v>2002.3571428571429</c:v>
                </c:pt>
                <c:pt idx="98" formatCode="0">
                  <c:v>2002.3571428571429</c:v>
                </c:pt>
                <c:pt idx="99" formatCode="0">
                  <c:v>2002.3571428571429</c:v>
                </c:pt>
                <c:pt idx="100" formatCode="0">
                  <c:v>2002.3571428571429</c:v>
                </c:pt>
                <c:pt idx="101" formatCode="0">
                  <c:v>2002.3571428571429</c:v>
                </c:pt>
                <c:pt idx="102" formatCode="0">
                  <c:v>2002.3571428571429</c:v>
                </c:pt>
                <c:pt idx="103" formatCode="0">
                  <c:v>2002.3571428571429</c:v>
                </c:pt>
                <c:pt idx="104" formatCode="0">
                  <c:v>2002.3571428571429</c:v>
                </c:pt>
                <c:pt idx="105" formatCode="0">
                  <c:v>2002.3571428571429</c:v>
                </c:pt>
                <c:pt idx="106" formatCode="0">
                  <c:v>2002.3571428571429</c:v>
                </c:pt>
                <c:pt idx="107" formatCode="0">
                  <c:v>2002.3571428571429</c:v>
                </c:pt>
                <c:pt idx="108" formatCode="0">
                  <c:v>2002.3571428571429</c:v>
                </c:pt>
                <c:pt idx="109" formatCode="0">
                  <c:v>2002.3571428571429</c:v>
                </c:pt>
                <c:pt idx="110" formatCode="0">
                  <c:v>2002.3571428571429</c:v>
                </c:pt>
                <c:pt idx="111" formatCode="0">
                  <c:v>2002.3571428571429</c:v>
                </c:pt>
                <c:pt idx="112" formatCode="0">
                  <c:v>2002.3571428571429</c:v>
                </c:pt>
                <c:pt idx="113" formatCode="0">
                  <c:v>2002.3571428571429</c:v>
                </c:pt>
              </c:numCache>
            </c:numRef>
          </c:val>
          <c:smooth val="0"/>
          <c:extLst>
            <c:ext xmlns:c16="http://schemas.microsoft.com/office/drawing/2014/chart" uri="{C3380CC4-5D6E-409C-BE32-E72D297353CC}">
              <c16:uniqueId val="{00000005-B894-4D3E-8CC9-5EE59E1DBCB3}"/>
            </c:ext>
          </c:extLst>
        </c:ser>
        <c:dLbls>
          <c:showLegendKey val="0"/>
          <c:showVal val="0"/>
          <c:showCatName val="0"/>
          <c:showSerName val="0"/>
          <c:showPercent val="0"/>
          <c:showBubbleSize val="0"/>
        </c:dLbls>
        <c:smooth val="0"/>
        <c:axId val="275459520"/>
        <c:axId val="275459912"/>
      </c:lineChart>
      <c:catAx>
        <c:axId val="27545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275459912"/>
        <c:crosses val="autoZero"/>
        <c:auto val="1"/>
        <c:lblAlgn val="ctr"/>
        <c:lblOffset val="100"/>
        <c:noMultiLvlLbl val="0"/>
      </c:catAx>
      <c:valAx>
        <c:axId val="27545991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545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lgn="just">
        <a:defRPr/>
      </a:pPr>
      <a:endParaRPr lang="es-CO"/>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6"/>
            <c:invertIfNegative val="0"/>
            <c:bubble3D val="0"/>
            <c:spPr>
              <a:solidFill>
                <a:schemeClr val="accent5">
                  <a:lumMod val="20000"/>
                  <a:lumOff val="80000"/>
                </a:schemeClr>
              </a:solidFill>
              <a:ln>
                <a:noFill/>
              </a:ln>
              <a:effectLst/>
            </c:spPr>
            <c:extLst>
              <c:ext xmlns:c16="http://schemas.microsoft.com/office/drawing/2014/chart" uri="{C3380CC4-5D6E-409C-BE32-E72D297353CC}">
                <c16:uniqueId val="{00000001-30B9-4B54-9503-87D2B38017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Hoja1!$E$7:$E$13</c:f>
              <c:strCache>
                <c:ptCount val="7"/>
                <c:pt idx="0">
                  <c:v>2016</c:v>
                </c:pt>
                <c:pt idx="2">
                  <c:v>2017</c:v>
                </c:pt>
                <c:pt idx="4">
                  <c:v>2018</c:v>
                </c:pt>
                <c:pt idx="6">
                  <c:v>2019 (Enero-Septiembre)</c:v>
                </c:pt>
              </c:strCache>
            </c:strRef>
          </c:cat>
          <c:val>
            <c:numRef>
              <c:f>Hoja1!$F$7:$F$13</c:f>
              <c:numCache>
                <c:formatCode>General</c:formatCode>
                <c:ptCount val="7"/>
                <c:pt idx="0">
                  <c:v>519840</c:v>
                </c:pt>
                <c:pt idx="2">
                  <c:v>498558</c:v>
                </c:pt>
                <c:pt idx="4">
                  <c:v>486068</c:v>
                </c:pt>
                <c:pt idx="6">
                  <c:v>334648</c:v>
                </c:pt>
              </c:numCache>
            </c:numRef>
          </c:val>
          <c:extLst>
            <c:ext xmlns:c16="http://schemas.microsoft.com/office/drawing/2014/chart" uri="{C3380CC4-5D6E-409C-BE32-E72D297353CC}">
              <c16:uniqueId val="{00000002-30B9-4B54-9503-87D2B3801715}"/>
            </c:ext>
          </c:extLst>
        </c:ser>
        <c:dLbls>
          <c:showLegendKey val="0"/>
          <c:showVal val="0"/>
          <c:showCatName val="0"/>
          <c:showSerName val="0"/>
          <c:showPercent val="0"/>
          <c:showBubbleSize val="0"/>
        </c:dLbls>
        <c:gapWidth val="219"/>
        <c:overlap val="-27"/>
        <c:axId val="275453640"/>
        <c:axId val="275454032"/>
      </c:barChart>
      <c:lineChart>
        <c:grouping val="standard"/>
        <c:varyColors val="0"/>
        <c:ser>
          <c:idx val="1"/>
          <c:order val="1"/>
          <c:spPr>
            <a:ln w="76200" cap="rnd">
              <a:solidFill>
                <a:schemeClr val="accent6"/>
              </a:solidFill>
              <a:round/>
            </a:ln>
            <a:effectLst/>
          </c:spPr>
          <c:marker>
            <c:symbol val="circle"/>
            <c:size val="5"/>
            <c:spPr>
              <a:solidFill>
                <a:schemeClr val="accent6"/>
              </a:solidFill>
              <a:ln w="76200">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Hoja1!$G$7:$G$13</c:f>
              <c:numCache>
                <c:formatCode>0%</c:formatCode>
                <c:ptCount val="7"/>
                <c:pt idx="1">
                  <c:v>-4.0939519852262234E-2</c:v>
                </c:pt>
                <c:pt idx="3">
                  <c:v>-2.5052250690992824E-2</c:v>
                </c:pt>
              </c:numCache>
            </c:numRef>
          </c:val>
          <c:smooth val="0"/>
          <c:extLst>
            <c:ext xmlns:c16="http://schemas.microsoft.com/office/drawing/2014/chart" uri="{C3380CC4-5D6E-409C-BE32-E72D297353CC}">
              <c16:uniqueId val="{00000003-30B9-4B54-9503-87D2B3801715}"/>
            </c:ext>
          </c:extLst>
        </c:ser>
        <c:dLbls>
          <c:showLegendKey val="0"/>
          <c:showVal val="0"/>
          <c:showCatName val="0"/>
          <c:showSerName val="0"/>
          <c:showPercent val="0"/>
          <c:showBubbleSize val="0"/>
        </c:dLbls>
        <c:marker val="1"/>
        <c:smooth val="0"/>
        <c:axId val="275464616"/>
        <c:axId val="275454816"/>
      </c:lineChart>
      <c:catAx>
        <c:axId val="275453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5454032"/>
        <c:crosses val="autoZero"/>
        <c:auto val="1"/>
        <c:lblAlgn val="ctr"/>
        <c:lblOffset val="100"/>
        <c:noMultiLvlLbl val="0"/>
      </c:catAx>
      <c:valAx>
        <c:axId val="27545403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5453640"/>
        <c:crosses val="autoZero"/>
        <c:crossBetween val="between"/>
      </c:valAx>
      <c:valAx>
        <c:axId val="275454816"/>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5464616"/>
        <c:crosses val="max"/>
        <c:crossBetween val="between"/>
      </c:valAx>
      <c:catAx>
        <c:axId val="275464616"/>
        <c:scaling>
          <c:orientation val="minMax"/>
        </c:scaling>
        <c:delete val="1"/>
        <c:axPos val="b"/>
        <c:majorTickMark val="out"/>
        <c:minorTickMark val="none"/>
        <c:tickLblPos val="nextTo"/>
        <c:crossAx val="27545481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ES" sz="1000"/>
              <a:t>Entornos Intervenidos</a:t>
            </a:r>
          </a:p>
        </c:rich>
      </c:tx>
      <c:layout>
        <c:manualLayout>
          <c:xMode val="edge"/>
          <c:yMode val="edge"/>
          <c:x val="0.24964230045956898"/>
          <c:y val="4.6948356807511735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1123882503192848"/>
          <c:y val="0.31178440723078626"/>
          <c:w val="0.88761174968071521"/>
          <c:h val="0.47978115411629885"/>
        </c:manualLayout>
      </c:layout>
      <c:barChart>
        <c:barDir val="col"/>
        <c:grouping val="clustered"/>
        <c:varyColors val="0"/>
        <c:ser>
          <c:idx val="0"/>
          <c:order val="0"/>
          <c:tx>
            <c:strRef>
              <c:f>Hoja2!$B$13</c:f>
              <c:strCache>
                <c:ptCount val="1"/>
                <c:pt idx="0">
                  <c:v>Entornos Protectores (zonas de farra, Instituciones Educativas Distritales y Parques)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Hoja2!$C$12:$G$12</c:f>
              <c:numCache>
                <c:formatCode>General</c:formatCode>
                <c:ptCount val="5"/>
                <c:pt idx="0">
                  <c:v>2016</c:v>
                </c:pt>
                <c:pt idx="1">
                  <c:v>2017</c:v>
                </c:pt>
                <c:pt idx="2">
                  <c:v>2018</c:v>
                </c:pt>
                <c:pt idx="3">
                  <c:v>2019</c:v>
                </c:pt>
              </c:numCache>
            </c:numRef>
          </c:cat>
          <c:val>
            <c:numRef>
              <c:f>Hoja2!$C$13:$F$13</c:f>
              <c:numCache>
                <c:formatCode>General</c:formatCode>
                <c:ptCount val="4"/>
                <c:pt idx="0">
                  <c:v>4</c:v>
                </c:pt>
                <c:pt idx="1">
                  <c:v>102</c:v>
                </c:pt>
                <c:pt idx="2">
                  <c:v>235</c:v>
                </c:pt>
                <c:pt idx="3">
                  <c:v>218</c:v>
                </c:pt>
              </c:numCache>
            </c:numRef>
          </c:val>
          <c:extLst>
            <c:ext xmlns:c16="http://schemas.microsoft.com/office/drawing/2014/chart" uri="{C3380CC4-5D6E-409C-BE32-E72D297353CC}">
              <c16:uniqueId val="{00000000-0B28-4AC9-82A0-974C2E528A24}"/>
            </c:ext>
          </c:extLst>
        </c:ser>
        <c:dLbls>
          <c:showLegendKey val="0"/>
          <c:showVal val="0"/>
          <c:showCatName val="0"/>
          <c:showSerName val="0"/>
          <c:showPercent val="0"/>
          <c:showBubbleSize val="0"/>
        </c:dLbls>
        <c:gapWidth val="150"/>
        <c:axId val="564012680"/>
        <c:axId val="564005232"/>
      </c:barChart>
      <c:catAx>
        <c:axId val="564012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64005232"/>
        <c:crosses val="autoZero"/>
        <c:auto val="1"/>
        <c:lblAlgn val="ctr"/>
        <c:lblOffset val="100"/>
        <c:noMultiLvlLbl val="0"/>
      </c:catAx>
      <c:valAx>
        <c:axId val="564005232"/>
        <c:scaling>
          <c:orientation val="minMax"/>
        </c:scaling>
        <c:delete val="1"/>
        <c:axPos val="l"/>
        <c:numFmt formatCode="General" sourceLinked="1"/>
        <c:majorTickMark val="none"/>
        <c:minorTickMark val="none"/>
        <c:tickLblPos val="nextTo"/>
        <c:crossAx val="564012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ES" sz="1200"/>
              <a:t>Jóvenes vinculados</a:t>
            </a:r>
            <a:r>
              <a:rPr lang="es-ES" sz="1200" baseline="0"/>
              <a:t>  </a:t>
            </a:r>
            <a:endParaRPr lang="es-ES" sz="1200"/>
          </a:p>
        </c:rich>
      </c:tx>
      <c:layout>
        <c:manualLayout>
          <c:xMode val="edge"/>
          <c:yMode val="edge"/>
          <c:x val="0.20842704521089794"/>
          <c:y val="6.5573770491803282E-2"/>
        </c:manualLayout>
      </c:layout>
      <c:overlay val="0"/>
      <c:spPr>
        <a:noFill/>
        <a:ln>
          <a:noFill/>
        </a:ln>
        <a:effectLst/>
      </c:spPr>
    </c:title>
    <c:autoTitleDeleted val="0"/>
    <c:plotArea>
      <c:layout/>
      <c:barChart>
        <c:barDir val="col"/>
        <c:grouping val="stacked"/>
        <c:varyColors val="0"/>
        <c:ser>
          <c:idx val="0"/>
          <c:order val="0"/>
          <c:tx>
            <c:strRef>
              <c:f>Hoja2!$B$3</c:f>
              <c:strCache>
                <c:ptCount val="1"/>
                <c:pt idx="0">
                  <c:v>Cuenta Hasta Diez</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Hoja2!$C$2:$F$2</c:f>
              <c:strCache>
                <c:ptCount val="4"/>
                <c:pt idx="0">
                  <c:v>2017</c:v>
                </c:pt>
                <c:pt idx="1">
                  <c:v>2018</c:v>
                </c:pt>
                <c:pt idx="2">
                  <c:v>2019</c:v>
                </c:pt>
                <c:pt idx="3">
                  <c:v>Total </c:v>
                </c:pt>
              </c:strCache>
            </c:strRef>
          </c:cat>
          <c:val>
            <c:numRef>
              <c:f>Hoja2!$C$3:$F$3</c:f>
              <c:numCache>
                <c:formatCode>General</c:formatCode>
                <c:ptCount val="4"/>
                <c:pt idx="0">
                  <c:v>347</c:v>
                </c:pt>
                <c:pt idx="1">
                  <c:v>1213</c:v>
                </c:pt>
                <c:pt idx="2">
                  <c:v>2224</c:v>
                </c:pt>
                <c:pt idx="3">
                  <c:v>3784</c:v>
                </c:pt>
              </c:numCache>
            </c:numRef>
          </c:val>
          <c:extLst>
            <c:ext xmlns:c16="http://schemas.microsoft.com/office/drawing/2014/chart" uri="{C3380CC4-5D6E-409C-BE32-E72D297353CC}">
              <c16:uniqueId val="{00000000-0D4E-4772-BEF1-505F9FF0E018}"/>
            </c:ext>
          </c:extLst>
        </c:ser>
        <c:ser>
          <c:idx val="1"/>
          <c:order val="1"/>
          <c:tx>
            <c:strRef>
              <c:f>Hoja2!$B$4</c:f>
              <c:strCache>
                <c:ptCount val="1"/>
                <c:pt idx="0">
                  <c:v>En la Juega</c:v>
                </c:pt>
              </c:strCache>
            </c:strRef>
          </c:tx>
          <c:spPr>
            <a:solidFill>
              <a:schemeClr val="accent2"/>
            </a:solidFill>
            <a:ln>
              <a:noFill/>
            </a:ln>
            <a:effectLst/>
          </c:spPr>
          <c:invertIfNegative val="0"/>
          <c:dLbls>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0D4E-4772-BEF1-505F9FF0E0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Hoja2!$C$2:$F$2</c:f>
              <c:strCache>
                <c:ptCount val="4"/>
                <c:pt idx="0">
                  <c:v>2017</c:v>
                </c:pt>
                <c:pt idx="1">
                  <c:v>2018</c:v>
                </c:pt>
                <c:pt idx="2">
                  <c:v>2019</c:v>
                </c:pt>
                <c:pt idx="3">
                  <c:v>Total </c:v>
                </c:pt>
              </c:strCache>
            </c:strRef>
          </c:cat>
          <c:val>
            <c:numRef>
              <c:f>Hoja2!$C$4:$F$4</c:f>
              <c:numCache>
                <c:formatCode>General</c:formatCode>
                <c:ptCount val="4"/>
                <c:pt idx="2">
                  <c:v>1238</c:v>
                </c:pt>
                <c:pt idx="3">
                  <c:v>1238</c:v>
                </c:pt>
              </c:numCache>
            </c:numRef>
          </c:val>
          <c:extLst>
            <c:ext xmlns:c16="http://schemas.microsoft.com/office/drawing/2014/chart" uri="{C3380CC4-5D6E-409C-BE32-E72D297353CC}">
              <c16:uniqueId val="{00000002-0D4E-4772-BEF1-505F9FF0E018}"/>
            </c:ext>
          </c:extLst>
        </c:ser>
        <c:dLbls>
          <c:showLegendKey val="0"/>
          <c:showVal val="0"/>
          <c:showCatName val="0"/>
          <c:showSerName val="0"/>
          <c:showPercent val="0"/>
          <c:showBubbleSize val="0"/>
        </c:dLbls>
        <c:gapWidth val="150"/>
        <c:overlap val="100"/>
        <c:axId val="564013856"/>
        <c:axId val="564014248"/>
      </c:barChart>
      <c:catAx>
        <c:axId val="56401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64014248"/>
        <c:crosses val="autoZero"/>
        <c:auto val="1"/>
        <c:lblAlgn val="ctr"/>
        <c:lblOffset val="100"/>
        <c:noMultiLvlLbl val="0"/>
      </c:catAx>
      <c:valAx>
        <c:axId val="564014248"/>
        <c:scaling>
          <c:orientation val="minMax"/>
        </c:scaling>
        <c:delete val="1"/>
        <c:axPos val="l"/>
        <c:numFmt formatCode="General" sourceLinked="1"/>
        <c:majorTickMark val="none"/>
        <c:minorTickMark val="none"/>
        <c:tickLblPos val="nextTo"/>
        <c:crossAx val="56401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Territorios de Alta Complejidad</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5.8558558558558557E-2"/>
          <c:y val="0.32836363636363636"/>
          <c:w val="0.90090090090090091"/>
          <c:h val="0.53104080171796708"/>
        </c:manualLayout>
      </c:layout>
      <c:barChart>
        <c:barDir val="col"/>
        <c:grouping val="clustered"/>
        <c:varyColors val="0"/>
        <c:ser>
          <c:idx val="0"/>
          <c:order val="0"/>
          <c:tx>
            <c:strRef>
              <c:f>Hoja2!$B$56</c:f>
              <c:strCache>
                <c:ptCount val="1"/>
                <c:pt idx="0">
                  <c:v>Territorios de Alta Compejidad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Hoja2!$C$55:$F$55</c:f>
              <c:numCache>
                <c:formatCode>General</c:formatCode>
                <c:ptCount val="4"/>
                <c:pt idx="0">
                  <c:v>2016</c:v>
                </c:pt>
                <c:pt idx="1">
                  <c:v>2017</c:v>
                </c:pt>
                <c:pt idx="2">
                  <c:v>2018</c:v>
                </c:pt>
                <c:pt idx="3">
                  <c:v>2019</c:v>
                </c:pt>
              </c:numCache>
            </c:numRef>
          </c:cat>
          <c:val>
            <c:numRef>
              <c:f>Hoja2!$C$56:$F$56</c:f>
              <c:numCache>
                <c:formatCode>General</c:formatCode>
                <c:ptCount val="4"/>
                <c:pt idx="0">
                  <c:v>4</c:v>
                </c:pt>
                <c:pt idx="1">
                  <c:v>5</c:v>
                </c:pt>
                <c:pt idx="2">
                  <c:v>12</c:v>
                </c:pt>
                <c:pt idx="3">
                  <c:v>14</c:v>
                </c:pt>
              </c:numCache>
            </c:numRef>
          </c:val>
          <c:extLst>
            <c:ext xmlns:c16="http://schemas.microsoft.com/office/drawing/2014/chart" uri="{C3380CC4-5D6E-409C-BE32-E72D297353CC}">
              <c16:uniqueId val="{00000000-9197-4832-8B80-C131F2B9DCD8}"/>
            </c:ext>
          </c:extLst>
        </c:ser>
        <c:dLbls>
          <c:showLegendKey val="0"/>
          <c:showVal val="0"/>
          <c:showCatName val="0"/>
          <c:showSerName val="0"/>
          <c:showPercent val="0"/>
          <c:showBubbleSize val="0"/>
        </c:dLbls>
        <c:gapWidth val="219"/>
        <c:overlap val="-27"/>
        <c:axId val="564002880"/>
        <c:axId val="564003272"/>
      </c:barChart>
      <c:catAx>
        <c:axId val="56400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64003272"/>
        <c:crosses val="autoZero"/>
        <c:auto val="1"/>
        <c:lblAlgn val="ctr"/>
        <c:lblOffset val="100"/>
        <c:noMultiLvlLbl val="0"/>
      </c:catAx>
      <c:valAx>
        <c:axId val="564003272"/>
        <c:scaling>
          <c:orientation val="minMax"/>
        </c:scaling>
        <c:delete val="1"/>
        <c:axPos val="l"/>
        <c:numFmt formatCode="General" sourceLinked="1"/>
        <c:majorTickMark val="none"/>
        <c:minorTickMark val="none"/>
        <c:tickLblPos val="nextTo"/>
        <c:crossAx val="564002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B06-4D63-BDF0-E54E57992D9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B06-4D63-BDF0-E54E57992D9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Hoja1!$H$9:$H$10</c:f>
              <c:strCache>
                <c:ptCount val="2"/>
                <c:pt idx="0">
                  <c:v>Cerrados con cese de acción penal</c:v>
                </c:pt>
                <c:pt idx="1">
                  <c:v>Casos Fallidos</c:v>
                </c:pt>
              </c:strCache>
            </c:strRef>
          </c:cat>
          <c:val>
            <c:numRef>
              <c:f>Hoja1!$I$9:$I$10</c:f>
              <c:numCache>
                <c:formatCode>General</c:formatCode>
                <c:ptCount val="2"/>
                <c:pt idx="0">
                  <c:v>167</c:v>
                </c:pt>
                <c:pt idx="1">
                  <c:v>10</c:v>
                </c:pt>
              </c:numCache>
            </c:numRef>
          </c:val>
          <c:extLst>
            <c:ext xmlns:c16="http://schemas.microsoft.com/office/drawing/2014/chart" uri="{C3380CC4-5D6E-409C-BE32-E72D297353CC}">
              <c16:uniqueId val="{00000004-5B06-4D63-BDF0-E54E57992D9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0.64122</cdr:x>
      <cdr:y>0.07225</cdr:y>
    </cdr:from>
    <cdr:to>
      <cdr:x>0.64122</cdr:x>
      <cdr:y>0.67503</cdr:y>
    </cdr:to>
    <cdr:cxnSp macro="">
      <cdr:nvCxnSpPr>
        <cdr:cNvPr id="3" name="Conector recto 2"/>
        <cdr:cNvCxnSpPr/>
      </cdr:nvCxnSpPr>
      <cdr:spPr>
        <a:xfrm xmlns:a="http://schemas.openxmlformats.org/drawingml/2006/main" flipV="1">
          <a:off x="3640125" y="238125"/>
          <a:ext cx="0" cy="1986552"/>
        </a:xfrm>
        <a:prstGeom xmlns:a="http://schemas.openxmlformats.org/drawingml/2006/main" prst="line">
          <a:avLst/>
        </a:prstGeom>
        <a:ln xmlns:a="http://schemas.openxmlformats.org/drawingml/2006/main" w="28575">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6B8A8-BE96-4424-9C42-C3F05813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12234</Words>
  <Characters>67290</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Peña Lopez</dc:creator>
  <cp:keywords/>
  <dc:description/>
  <cp:lastModifiedBy>Carolina Peña Lopez</cp:lastModifiedBy>
  <cp:revision>2</cp:revision>
  <cp:lastPrinted>2019-10-21T21:47:00Z</cp:lastPrinted>
  <dcterms:created xsi:type="dcterms:W3CDTF">2019-10-22T00:06:00Z</dcterms:created>
  <dcterms:modified xsi:type="dcterms:W3CDTF">2019-10-22T00:06:00Z</dcterms:modified>
</cp:coreProperties>
</file>