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1226" w:rsidRDefault="00931226" w:rsidP="00284741">
      <w:pPr>
        <w:spacing w:after="0" w:line="240" w:lineRule="auto"/>
        <w:rPr>
          <w:rFonts w:ascii="Arial" w:eastAsia="Arial" w:hAnsi="Arial" w:cs="Arial"/>
          <w:b/>
          <w:sz w:val="22"/>
          <w:szCs w:val="22"/>
        </w:rPr>
      </w:pPr>
    </w:p>
    <w:p w:rsidR="00F07EBA" w:rsidRPr="00346DF4" w:rsidRDefault="00F07EBA" w:rsidP="00284741">
      <w:pPr>
        <w:spacing w:after="0" w:line="240" w:lineRule="auto"/>
        <w:rPr>
          <w:rFonts w:ascii="Arial" w:eastAsia="Arial" w:hAnsi="Arial" w:cs="Arial"/>
          <w:b/>
          <w:sz w:val="22"/>
          <w:szCs w:val="22"/>
        </w:rPr>
      </w:pPr>
      <w:r w:rsidRPr="00346DF4">
        <w:rPr>
          <w:rFonts w:ascii="Arial" w:eastAsia="Arial" w:hAnsi="Arial" w:cs="Arial"/>
          <w:b/>
          <w:sz w:val="22"/>
          <w:szCs w:val="22"/>
        </w:rPr>
        <w:t>Temática</w:t>
      </w:r>
      <w:r w:rsidR="006F6AC4" w:rsidRPr="00346DF4">
        <w:rPr>
          <w:rFonts w:ascii="Arial" w:eastAsia="Arial" w:hAnsi="Arial" w:cs="Arial"/>
          <w:b/>
          <w:sz w:val="22"/>
          <w:szCs w:val="22"/>
        </w:rPr>
        <w:t>: SEGURIDAD</w:t>
      </w:r>
      <w:r w:rsidRPr="00346DF4">
        <w:rPr>
          <w:rFonts w:ascii="Arial" w:eastAsia="Arial" w:hAnsi="Arial" w:cs="Arial"/>
          <w:b/>
          <w:sz w:val="22"/>
          <w:szCs w:val="22"/>
        </w:rPr>
        <w:t xml:space="preserve"> Y CONVIVENCIA</w:t>
      </w:r>
    </w:p>
    <w:p w:rsidR="00F07EBA" w:rsidRPr="00346DF4" w:rsidRDefault="00F07EBA" w:rsidP="00284741">
      <w:pPr>
        <w:spacing w:after="0" w:line="240" w:lineRule="auto"/>
        <w:rPr>
          <w:rFonts w:ascii="Arial" w:eastAsia="Arial" w:hAnsi="Arial" w:cs="Arial"/>
          <w:b/>
          <w:sz w:val="22"/>
          <w:szCs w:val="22"/>
        </w:rPr>
      </w:pPr>
    </w:p>
    <w:p w:rsidR="00F07EBA" w:rsidRPr="00346DF4" w:rsidRDefault="006C754E" w:rsidP="00284741">
      <w:pPr>
        <w:pStyle w:val="Prrafodelista"/>
        <w:numPr>
          <w:ilvl w:val="0"/>
          <w:numId w:val="5"/>
        </w:numPr>
        <w:ind w:left="284" w:hanging="284"/>
        <w:rPr>
          <w:rFonts w:ascii="Arial" w:eastAsia="Arial" w:hAnsi="Arial" w:cs="Arial"/>
          <w:b/>
          <w:sz w:val="22"/>
          <w:szCs w:val="22"/>
        </w:rPr>
      </w:pPr>
      <w:r>
        <w:rPr>
          <w:rFonts w:ascii="Arial" w:eastAsia="Arial" w:hAnsi="Arial" w:cs="Arial"/>
          <w:b/>
          <w:sz w:val="22"/>
          <w:szCs w:val="22"/>
        </w:rPr>
        <w:t>Identificación y descripción de la problemática social</w:t>
      </w:r>
    </w:p>
    <w:p w:rsidR="00F07EBA" w:rsidRPr="00346DF4" w:rsidRDefault="00F07EBA" w:rsidP="00284741">
      <w:pPr>
        <w:spacing w:after="0" w:line="240" w:lineRule="auto"/>
        <w:rPr>
          <w:rFonts w:ascii="Arial" w:eastAsia="Arial" w:hAnsi="Arial" w:cs="Arial"/>
          <w:b/>
          <w:sz w:val="22"/>
          <w:szCs w:val="22"/>
        </w:rPr>
      </w:pPr>
    </w:p>
    <w:p w:rsidR="00F07EBA" w:rsidRPr="0007015D" w:rsidRDefault="00F07EBA" w:rsidP="00284741">
      <w:pPr>
        <w:spacing w:after="0" w:line="240" w:lineRule="auto"/>
        <w:jc w:val="both"/>
        <w:rPr>
          <w:rFonts w:ascii="Arial" w:hAnsi="Arial" w:cs="Arial"/>
          <w:sz w:val="22"/>
          <w:szCs w:val="22"/>
        </w:rPr>
      </w:pPr>
      <w:r w:rsidRPr="0007015D">
        <w:rPr>
          <w:rFonts w:ascii="Arial" w:hAnsi="Arial" w:cs="Arial"/>
          <w:sz w:val="22"/>
          <w:szCs w:val="22"/>
        </w:rPr>
        <w:t xml:space="preserve">La seguridad ciudadana se entiende como </w:t>
      </w:r>
      <w:r w:rsidRPr="0007015D">
        <w:rPr>
          <w:rFonts w:ascii="Arial" w:hAnsi="Arial" w:cs="Arial"/>
          <w:i/>
          <w:sz w:val="22"/>
          <w:szCs w:val="22"/>
        </w:rPr>
        <w:t>“La protección universal a los ciudadanos frente a aquellos delitos y contravenciones que afecten su dignidad, su seguridad personal y la de sus bienes, y frente al temor a la inseguridad. La convivencia, por su parte, comprende la promoción del apego y la adhesión de los ciudadanos a una cultura ciudadana basada en el respeto a la ley, a los demás y a unas normas básicas de comportamiento y de convivencia social”</w:t>
      </w:r>
      <w:r w:rsidRPr="0007015D">
        <w:rPr>
          <w:rStyle w:val="Refdenotaalpie"/>
          <w:rFonts w:ascii="Arial" w:hAnsi="Arial" w:cs="Arial"/>
          <w:i/>
          <w:sz w:val="22"/>
          <w:szCs w:val="22"/>
        </w:rPr>
        <w:footnoteReference w:id="1"/>
      </w:r>
      <w:r w:rsidRPr="0007015D">
        <w:rPr>
          <w:rFonts w:ascii="Arial" w:hAnsi="Arial" w:cs="Arial"/>
          <w:i/>
          <w:sz w:val="22"/>
          <w:szCs w:val="22"/>
        </w:rPr>
        <w:t xml:space="preserve">. </w:t>
      </w:r>
      <w:r w:rsidR="00A07F24" w:rsidRPr="0007015D">
        <w:rPr>
          <w:rFonts w:ascii="Arial" w:hAnsi="Arial" w:cs="Arial"/>
          <w:i/>
          <w:sz w:val="22"/>
          <w:szCs w:val="22"/>
        </w:rPr>
        <w:t xml:space="preserve"> </w:t>
      </w:r>
      <w:r w:rsidR="00A07F24" w:rsidRPr="0007015D">
        <w:rPr>
          <w:rFonts w:ascii="Arial" w:hAnsi="Arial" w:cs="Arial"/>
          <w:sz w:val="22"/>
          <w:szCs w:val="22"/>
        </w:rPr>
        <w:t xml:space="preserve"> </w:t>
      </w:r>
      <w:r w:rsidRPr="0007015D">
        <w:rPr>
          <w:rFonts w:ascii="Arial" w:hAnsi="Arial" w:cs="Arial"/>
          <w:sz w:val="22"/>
          <w:szCs w:val="22"/>
        </w:rPr>
        <w:t xml:space="preserve">Por su parte, la criminalidad es un fenómeno multicausal que tiene diversas manifestaciones y afecta a los ciudadanos de diversas maneras, especialmente a aquellos grupos más vulnerables. En este sentido, las causas de la delincuencia son el resultado de factores estructurales y coyunturales dentro de los cuales el comportamiento ciudadano es crucial para la seguridad y la convivencia en la ciudad. </w:t>
      </w:r>
    </w:p>
    <w:p w:rsidR="0015559D" w:rsidRPr="0007015D" w:rsidRDefault="0015559D" w:rsidP="00284741">
      <w:pPr>
        <w:spacing w:after="0" w:line="240" w:lineRule="auto"/>
        <w:jc w:val="both"/>
        <w:rPr>
          <w:rFonts w:ascii="Arial" w:hAnsi="Arial" w:cs="Arial"/>
          <w:sz w:val="22"/>
          <w:szCs w:val="22"/>
        </w:rPr>
      </w:pPr>
    </w:p>
    <w:p w:rsidR="00F07EBA" w:rsidRPr="0007015D" w:rsidRDefault="00F07EBA" w:rsidP="00284741">
      <w:pPr>
        <w:spacing w:after="0" w:line="240" w:lineRule="auto"/>
        <w:jc w:val="both"/>
        <w:rPr>
          <w:rFonts w:ascii="Arial" w:hAnsi="Arial" w:cs="Arial"/>
          <w:b/>
          <w:sz w:val="22"/>
          <w:szCs w:val="22"/>
        </w:rPr>
      </w:pPr>
      <w:r w:rsidRPr="0007015D">
        <w:rPr>
          <w:rFonts w:ascii="Arial" w:hAnsi="Arial" w:cs="Arial"/>
          <w:sz w:val="22"/>
          <w:szCs w:val="22"/>
        </w:rPr>
        <w:t xml:space="preserve">La ciudad capital cuenta con una población cercana a los 8 millones de habitantes, que presenta a su vez, un acelerado crecimiento demográfico sujeto a una tendencia creciente en los indicadores de criminalidad y delincuencia, situación que requiere la ejecución de estrategias, acciones y programas tendientes a incrementar la percepción de seguridad ciudadana y a reducir los índices de criminalidad. </w:t>
      </w:r>
      <w:r w:rsidR="0015559D" w:rsidRPr="0007015D">
        <w:rPr>
          <w:rFonts w:ascii="Arial" w:hAnsi="Arial" w:cs="Arial"/>
          <w:sz w:val="22"/>
          <w:szCs w:val="22"/>
        </w:rPr>
        <w:t xml:space="preserve"> </w:t>
      </w:r>
      <w:r w:rsidRPr="0007015D">
        <w:rPr>
          <w:rFonts w:ascii="Arial" w:hAnsi="Arial" w:cs="Arial"/>
          <w:color w:val="000000" w:themeColor="text1"/>
          <w:sz w:val="22"/>
          <w:szCs w:val="22"/>
        </w:rPr>
        <w:t xml:space="preserve">La seguridad en Bogotá puede ser valorada a través de los delitos que afectan principalmente a los ciudadanos, siendo los principales el homicidio, las lesiones personales y el hurto a personas. </w:t>
      </w:r>
      <w:r w:rsidRPr="0007015D">
        <w:rPr>
          <w:rFonts w:ascii="Arial" w:hAnsi="Arial" w:cs="Arial"/>
          <w:b/>
          <w:color w:val="000000" w:themeColor="text1"/>
          <w:sz w:val="22"/>
          <w:szCs w:val="22"/>
        </w:rPr>
        <w:t>Las estadísticas planteadas en e</w:t>
      </w:r>
      <w:r w:rsidRPr="0007015D">
        <w:rPr>
          <w:rFonts w:ascii="Arial" w:hAnsi="Arial" w:cs="Arial"/>
          <w:b/>
          <w:sz w:val="22"/>
          <w:szCs w:val="22"/>
        </w:rPr>
        <w:t>l Plan de Desarrollo 2016-2020 “Bogo</w:t>
      </w:r>
      <w:r w:rsidR="0038020C" w:rsidRPr="0007015D">
        <w:rPr>
          <w:rFonts w:ascii="Arial" w:hAnsi="Arial" w:cs="Arial"/>
          <w:b/>
          <w:sz w:val="22"/>
          <w:szCs w:val="22"/>
        </w:rPr>
        <w:t>tá Mejor para Todos”, evidencian</w:t>
      </w:r>
      <w:r w:rsidRPr="0007015D">
        <w:rPr>
          <w:rFonts w:ascii="Arial" w:hAnsi="Arial" w:cs="Arial"/>
          <w:b/>
          <w:sz w:val="22"/>
          <w:szCs w:val="22"/>
        </w:rPr>
        <w:t xml:space="preserve"> los retos para la ciudad:</w:t>
      </w:r>
    </w:p>
    <w:p w:rsidR="0015559D" w:rsidRPr="0007015D" w:rsidRDefault="0015559D" w:rsidP="00284741">
      <w:pPr>
        <w:spacing w:after="0" w:line="240" w:lineRule="auto"/>
        <w:jc w:val="both"/>
        <w:rPr>
          <w:rFonts w:ascii="Arial" w:hAnsi="Arial" w:cs="Arial"/>
          <w:color w:val="000000" w:themeColor="text1"/>
          <w:sz w:val="22"/>
          <w:szCs w:val="22"/>
        </w:rPr>
      </w:pPr>
    </w:p>
    <w:p w:rsidR="0015559D" w:rsidRPr="0007015D" w:rsidRDefault="00F07EBA" w:rsidP="00284741">
      <w:pPr>
        <w:spacing w:after="0" w:line="240" w:lineRule="auto"/>
        <w:jc w:val="both"/>
        <w:rPr>
          <w:rFonts w:ascii="Arial" w:hAnsi="Arial" w:cs="Arial"/>
          <w:sz w:val="22"/>
          <w:szCs w:val="22"/>
        </w:rPr>
      </w:pPr>
      <w:r w:rsidRPr="0007015D">
        <w:rPr>
          <w:rFonts w:ascii="Arial" w:hAnsi="Arial" w:cs="Arial"/>
          <w:sz w:val="22"/>
          <w:szCs w:val="22"/>
        </w:rPr>
        <w:t>Al revisar el comportamiento de la tasa de homicidio en Bogotá, se observa que a pesar de disminuir entre el 2010 y 2013 pasando de una tasa de 23,6 homicidios por cada cien mil habitantes a una de 14,9, a partir de ese año incrementó a 17,5 para el año 2014 manteniéndose constante durante la vigencia 2015, en el cual la tasa de homicidio es del 17,4.</w:t>
      </w:r>
      <w:r w:rsidR="00942165" w:rsidRPr="0007015D">
        <w:rPr>
          <w:rFonts w:ascii="Arial" w:hAnsi="Arial" w:cs="Arial"/>
          <w:sz w:val="22"/>
          <w:szCs w:val="22"/>
        </w:rPr>
        <w:t xml:space="preserve"> </w:t>
      </w:r>
    </w:p>
    <w:p w:rsidR="00054D84" w:rsidRPr="0007015D" w:rsidRDefault="00054D84" w:rsidP="00284741">
      <w:pPr>
        <w:spacing w:after="0" w:line="240" w:lineRule="auto"/>
        <w:jc w:val="both"/>
        <w:rPr>
          <w:rFonts w:ascii="Arial" w:hAnsi="Arial" w:cs="Arial"/>
          <w:sz w:val="22"/>
          <w:szCs w:val="22"/>
        </w:rPr>
      </w:pPr>
    </w:p>
    <w:p w:rsidR="00F07EBA" w:rsidRPr="0007015D" w:rsidRDefault="00F07EBA" w:rsidP="00284741">
      <w:pPr>
        <w:spacing w:after="0" w:line="240" w:lineRule="auto"/>
        <w:jc w:val="both"/>
        <w:rPr>
          <w:rFonts w:ascii="Arial" w:hAnsi="Arial" w:cs="Arial"/>
          <w:sz w:val="22"/>
          <w:szCs w:val="22"/>
        </w:rPr>
      </w:pPr>
      <w:r w:rsidRPr="0007015D">
        <w:rPr>
          <w:rFonts w:ascii="Arial" w:hAnsi="Arial" w:cs="Arial"/>
          <w:sz w:val="22"/>
          <w:szCs w:val="22"/>
        </w:rPr>
        <w:t>La tasa de lesiones personales presenta un incremento del 74,7% en los últimos diez años, al pasar de una tasa de 96,9 lesiones por cada cien mil habitantes en 2005 a una tasa de 169,3 en 2015.</w:t>
      </w:r>
    </w:p>
    <w:p w:rsidR="0015559D" w:rsidRPr="0007015D" w:rsidRDefault="0015559D" w:rsidP="00284741">
      <w:pPr>
        <w:spacing w:after="0" w:line="240" w:lineRule="auto"/>
        <w:jc w:val="both"/>
        <w:rPr>
          <w:rFonts w:ascii="Arial" w:hAnsi="Arial" w:cs="Arial"/>
          <w:sz w:val="22"/>
          <w:szCs w:val="22"/>
        </w:rPr>
      </w:pPr>
    </w:p>
    <w:p w:rsidR="00F07EBA" w:rsidRPr="0007015D" w:rsidRDefault="00F07EBA" w:rsidP="00284741">
      <w:pPr>
        <w:spacing w:after="0" w:line="240" w:lineRule="auto"/>
        <w:jc w:val="both"/>
        <w:rPr>
          <w:rFonts w:ascii="Arial" w:hAnsi="Arial" w:cs="Arial"/>
          <w:sz w:val="22"/>
          <w:szCs w:val="22"/>
        </w:rPr>
      </w:pPr>
      <w:r w:rsidRPr="0007015D">
        <w:rPr>
          <w:rFonts w:ascii="Arial" w:hAnsi="Arial" w:cs="Arial"/>
          <w:sz w:val="22"/>
          <w:szCs w:val="22"/>
        </w:rPr>
        <w:t>El hurto a personas es aún más preocupante, presentando un incremento del 230% en la tasa de este delito entre 2003 y 2015. En 2003 se registró una tasa de 102,1 por cien mil habitantes y en el 2015 aumentó a 337,5.</w:t>
      </w:r>
    </w:p>
    <w:p w:rsidR="0015559D" w:rsidRPr="0007015D" w:rsidRDefault="0015559D" w:rsidP="00284741">
      <w:pPr>
        <w:spacing w:after="0" w:line="240" w:lineRule="auto"/>
        <w:jc w:val="both"/>
        <w:rPr>
          <w:rFonts w:ascii="Arial" w:hAnsi="Arial" w:cs="Arial"/>
          <w:sz w:val="22"/>
          <w:szCs w:val="22"/>
        </w:rPr>
      </w:pPr>
    </w:p>
    <w:p w:rsidR="00F07EBA" w:rsidRPr="0007015D" w:rsidRDefault="00F07EBA" w:rsidP="00284741">
      <w:pPr>
        <w:spacing w:after="0" w:line="240" w:lineRule="auto"/>
        <w:jc w:val="both"/>
        <w:rPr>
          <w:rFonts w:ascii="Arial" w:hAnsi="Arial" w:cs="Arial"/>
          <w:sz w:val="22"/>
          <w:szCs w:val="22"/>
        </w:rPr>
      </w:pPr>
      <w:r w:rsidRPr="0007015D">
        <w:rPr>
          <w:rFonts w:ascii="Arial" w:hAnsi="Arial" w:cs="Arial"/>
          <w:sz w:val="22"/>
          <w:szCs w:val="22"/>
        </w:rPr>
        <w:t>Adicionalmente, los bogotanos se sienten cada vez más inseguros en la ciudad. Los registros de la Encuesta de Percepción y Victimización de la Cámara de Comercio de Bogotá (CCB) evidencian que la percepción de inseguridad en Bogotá ha crecido, al pasar de 43% en 2014 a 55% en 2015, ubicándose 4 puntos porcentuales por encima del promedio histórico registrado en la ciudad.</w:t>
      </w:r>
      <w:r w:rsidR="00346DF4" w:rsidRPr="0007015D">
        <w:rPr>
          <w:rFonts w:ascii="Arial" w:hAnsi="Arial" w:cs="Arial"/>
          <w:sz w:val="22"/>
          <w:szCs w:val="22"/>
        </w:rPr>
        <w:t xml:space="preserve"> </w:t>
      </w:r>
      <w:r w:rsidRPr="0007015D">
        <w:rPr>
          <w:rFonts w:ascii="Arial" w:hAnsi="Arial" w:cs="Arial"/>
          <w:sz w:val="22"/>
          <w:szCs w:val="22"/>
        </w:rPr>
        <w:t xml:space="preserve">Por otra parte, en la ciudad se han generado </w:t>
      </w:r>
      <w:r w:rsidRPr="0007015D">
        <w:rPr>
          <w:rFonts w:ascii="Arial" w:hAnsi="Arial" w:cs="Arial"/>
          <w:sz w:val="22"/>
          <w:szCs w:val="22"/>
        </w:rPr>
        <w:lastRenderedPageBreak/>
        <w:t>espacios para el crecimiento de redes criminales que redefinen la vida local y presentan un uso sostenido de la violencia, con un alto subregistro de las actividades ilícitas. Por ejemplo, según registros del Ministerio de Defensa Nacional, se encontró que en Bogotá durante 2015, delitos como la extorsión y el contrabando registraron un aumento de 77,1% y 70,3 %, respectivamente.</w:t>
      </w:r>
    </w:p>
    <w:p w:rsidR="0015559D" w:rsidRPr="0007015D" w:rsidRDefault="0015559D" w:rsidP="00284741">
      <w:pPr>
        <w:spacing w:after="0" w:line="240" w:lineRule="auto"/>
        <w:jc w:val="both"/>
        <w:rPr>
          <w:rFonts w:ascii="Arial" w:hAnsi="Arial" w:cs="Arial"/>
          <w:sz w:val="22"/>
          <w:szCs w:val="22"/>
        </w:rPr>
      </w:pPr>
    </w:p>
    <w:p w:rsidR="00226A87" w:rsidRPr="0007015D" w:rsidRDefault="00226A87" w:rsidP="00AD12F4">
      <w:pPr>
        <w:spacing w:after="0" w:line="240" w:lineRule="auto"/>
        <w:jc w:val="both"/>
        <w:rPr>
          <w:rFonts w:ascii="Arial" w:hAnsi="Arial" w:cs="Arial"/>
          <w:sz w:val="22"/>
          <w:szCs w:val="22"/>
        </w:rPr>
      </w:pPr>
      <w:r w:rsidRPr="0007015D">
        <w:rPr>
          <w:rFonts w:ascii="Arial" w:hAnsi="Arial" w:cs="Arial"/>
          <w:sz w:val="22"/>
          <w:szCs w:val="22"/>
        </w:rPr>
        <w:t>Para contrarrestar el problema planteado</w:t>
      </w:r>
      <w:r w:rsidR="0015559D" w:rsidRPr="0007015D">
        <w:rPr>
          <w:rFonts w:ascii="Arial" w:hAnsi="Arial" w:cs="Arial"/>
          <w:sz w:val="22"/>
          <w:szCs w:val="22"/>
        </w:rPr>
        <w:t xml:space="preserve"> se plantea una respuesta </w:t>
      </w:r>
      <w:r w:rsidR="008F1914" w:rsidRPr="0007015D">
        <w:rPr>
          <w:rFonts w:ascii="Arial" w:hAnsi="Arial" w:cs="Arial"/>
          <w:sz w:val="22"/>
          <w:szCs w:val="22"/>
        </w:rPr>
        <w:t xml:space="preserve">integral a la </w:t>
      </w:r>
      <w:r w:rsidR="00AD12F4" w:rsidRPr="0007015D">
        <w:rPr>
          <w:rFonts w:ascii="Arial" w:hAnsi="Arial" w:cs="Arial"/>
          <w:sz w:val="22"/>
          <w:szCs w:val="22"/>
        </w:rPr>
        <w:t>ciudadanía, en</w:t>
      </w:r>
      <w:r w:rsidR="008F1914" w:rsidRPr="0007015D">
        <w:rPr>
          <w:rFonts w:ascii="Arial" w:hAnsi="Arial" w:cs="Arial"/>
          <w:sz w:val="22"/>
          <w:szCs w:val="22"/>
        </w:rPr>
        <w:t xml:space="preserve"> el marco </w:t>
      </w:r>
      <w:r w:rsidR="00AD12F4" w:rsidRPr="0007015D">
        <w:rPr>
          <w:rFonts w:ascii="Arial" w:hAnsi="Arial" w:cs="Arial"/>
          <w:sz w:val="22"/>
          <w:szCs w:val="22"/>
        </w:rPr>
        <w:t>de las</w:t>
      </w:r>
      <w:r w:rsidR="0015559D" w:rsidRPr="0007015D">
        <w:rPr>
          <w:rFonts w:ascii="Arial" w:hAnsi="Arial" w:cs="Arial"/>
          <w:sz w:val="22"/>
          <w:szCs w:val="22"/>
        </w:rPr>
        <w:t xml:space="preserve"> siguientes estrategias:</w:t>
      </w:r>
    </w:p>
    <w:p w:rsidR="0015559D" w:rsidRPr="0007015D" w:rsidRDefault="0015559D" w:rsidP="00284741">
      <w:pPr>
        <w:spacing w:after="0" w:line="240" w:lineRule="auto"/>
        <w:jc w:val="both"/>
        <w:rPr>
          <w:rFonts w:ascii="Arial" w:hAnsi="Arial" w:cs="Arial"/>
          <w:sz w:val="22"/>
          <w:szCs w:val="22"/>
        </w:rPr>
      </w:pPr>
    </w:p>
    <w:p w:rsidR="006B59AB" w:rsidRPr="0007015D" w:rsidRDefault="006B59AB" w:rsidP="006B59AB">
      <w:pPr>
        <w:pStyle w:val="Prrafodelista"/>
        <w:widowControl w:val="0"/>
        <w:numPr>
          <w:ilvl w:val="0"/>
          <w:numId w:val="11"/>
        </w:numPr>
        <w:tabs>
          <w:tab w:val="left" w:pos="176"/>
        </w:tabs>
        <w:suppressAutoHyphens/>
        <w:ind w:left="176" w:right="-142" w:hanging="284"/>
        <w:jc w:val="both"/>
        <w:rPr>
          <w:rFonts w:ascii="Arial" w:hAnsi="Arial" w:cs="Arial"/>
          <w:i/>
        </w:rPr>
      </w:pPr>
      <w:r w:rsidRPr="0007015D">
        <w:rPr>
          <w:rFonts w:ascii="Arial" w:hAnsi="Arial" w:cs="Arial"/>
          <w:i/>
        </w:rPr>
        <w:t>Gestión de información de calidad para la toma de decisiones: El diseño, seguimiento, evaluación y ajuste de las políticas que se implementarán servirán de análisis descriptivos y confirmatorios de datos, esto incluiría el Plan Integral de Seguridad, Convivencia y Justicia para Bogotá.</w:t>
      </w:r>
    </w:p>
    <w:p w:rsidR="006B59AB" w:rsidRPr="0007015D" w:rsidRDefault="006B59AB" w:rsidP="006B59AB">
      <w:pPr>
        <w:widowControl w:val="0"/>
        <w:tabs>
          <w:tab w:val="left" w:pos="176"/>
        </w:tabs>
        <w:spacing w:after="0" w:line="240" w:lineRule="auto"/>
        <w:ind w:left="-108" w:right="-142"/>
        <w:jc w:val="both"/>
        <w:rPr>
          <w:rFonts w:ascii="Arial" w:hAnsi="Arial" w:cs="Arial"/>
          <w:i/>
          <w:sz w:val="24"/>
          <w:szCs w:val="24"/>
        </w:rPr>
      </w:pPr>
    </w:p>
    <w:p w:rsidR="006B59AB" w:rsidRPr="0007015D" w:rsidRDefault="006B59AB" w:rsidP="006B59AB">
      <w:pPr>
        <w:pStyle w:val="Prrafodelista"/>
        <w:widowControl w:val="0"/>
        <w:numPr>
          <w:ilvl w:val="0"/>
          <w:numId w:val="11"/>
        </w:numPr>
        <w:tabs>
          <w:tab w:val="left" w:pos="176"/>
        </w:tabs>
        <w:suppressAutoHyphens/>
        <w:ind w:left="176" w:right="-142" w:hanging="284"/>
        <w:jc w:val="both"/>
        <w:rPr>
          <w:rFonts w:ascii="Arial" w:hAnsi="Arial" w:cs="Arial"/>
          <w:i/>
        </w:rPr>
      </w:pPr>
      <w:r w:rsidRPr="0007015D">
        <w:rPr>
          <w:rFonts w:ascii="Arial" w:hAnsi="Arial" w:cs="Arial"/>
          <w:i/>
        </w:rPr>
        <w:t xml:space="preserve">Mejoramiento en la atención de emergencias de la ciudad: Se creará el Centro de Comando y Control de Bogotá, cuyo objetivo será establecer una coordinación efectiva entre las diferentes instancias involucradas en la atención de emergencias en la ciudad. Esto se llevará a cabo a través del fortalecimiento e integración tecnológica, la definición de procesos y protocolos de interacción para la respuesta a emergencias, el entrenamiento y la capacitación del personal. </w:t>
      </w:r>
    </w:p>
    <w:p w:rsidR="006B59AB" w:rsidRPr="0007015D" w:rsidRDefault="006B59AB" w:rsidP="006B59AB">
      <w:pPr>
        <w:pStyle w:val="Prrafodelista"/>
        <w:ind w:right="-142"/>
        <w:rPr>
          <w:rFonts w:ascii="Arial" w:hAnsi="Arial" w:cs="Arial"/>
          <w:i/>
        </w:rPr>
      </w:pPr>
    </w:p>
    <w:p w:rsidR="006B59AB" w:rsidRPr="0007015D" w:rsidRDefault="006B59AB" w:rsidP="006B59AB">
      <w:pPr>
        <w:pStyle w:val="Prrafodelista"/>
        <w:widowControl w:val="0"/>
        <w:numPr>
          <w:ilvl w:val="0"/>
          <w:numId w:val="11"/>
        </w:numPr>
        <w:tabs>
          <w:tab w:val="left" w:pos="176"/>
        </w:tabs>
        <w:suppressAutoHyphens/>
        <w:ind w:left="176" w:right="-142" w:hanging="284"/>
        <w:jc w:val="both"/>
        <w:rPr>
          <w:rFonts w:ascii="Arial" w:hAnsi="Arial" w:cs="Arial"/>
          <w:i/>
        </w:rPr>
      </w:pPr>
      <w:r w:rsidRPr="0007015D">
        <w:rPr>
          <w:rFonts w:ascii="Arial" w:hAnsi="Arial" w:cs="Arial"/>
          <w:i/>
        </w:rPr>
        <w:t xml:space="preserve">Prevención del delito: se pondrán en marcha y coordinarán con diferentes entidades del distrito intervenciones de prevención social. Estas facilitarán la resolución pacífica de los conflictos interpersonales, la capacitación sobre los riesgos asociados al consumo inadecuado de sustancias </w:t>
      </w:r>
      <w:r w:rsidR="00AD12F4" w:rsidRPr="0007015D">
        <w:rPr>
          <w:rFonts w:ascii="Arial" w:hAnsi="Arial" w:cs="Arial"/>
          <w:i/>
        </w:rPr>
        <w:t>psicoactivas y</w:t>
      </w:r>
      <w:r w:rsidRPr="0007015D">
        <w:rPr>
          <w:rFonts w:ascii="Arial" w:hAnsi="Arial" w:cs="Arial"/>
          <w:i/>
        </w:rPr>
        <w:t xml:space="preserve"> se promoverán políticas para el expendio y el consumo responsable del alcohol. Igualmente, se promoverán acciones de autocuidado y precaución del delito en la ciudadanía.</w:t>
      </w:r>
    </w:p>
    <w:p w:rsidR="006B59AB" w:rsidRPr="0007015D" w:rsidRDefault="006B59AB" w:rsidP="006B59AB">
      <w:pPr>
        <w:pStyle w:val="Prrafodelista"/>
        <w:ind w:right="-142"/>
        <w:rPr>
          <w:rFonts w:ascii="Arial" w:hAnsi="Arial" w:cs="Arial"/>
          <w:i/>
        </w:rPr>
      </w:pPr>
    </w:p>
    <w:p w:rsidR="006B59AB" w:rsidRPr="0007015D" w:rsidRDefault="006B59AB" w:rsidP="006B59AB">
      <w:pPr>
        <w:pStyle w:val="Prrafodelista"/>
        <w:widowControl w:val="0"/>
        <w:numPr>
          <w:ilvl w:val="0"/>
          <w:numId w:val="11"/>
        </w:numPr>
        <w:tabs>
          <w:tab w:val="left" w:pos="176"/>
        </w:tabs>
        <w:suppressAutoHyphens/>
        <w:ind w:left="176" w:right="-142" w:hanging="284"/>
        <w:jc w:val="both"/>
        <w:rPr>
          <w:rFonts w:ascii="Arial" w:hAnsi="Arial" w:cs="Arial"/>
          <w:i/>
        </w:rPr>
      </w:pPr>
      <w:r w:rsidRPr="0007015D">
        <w:rPr>
          <w:rFonts w:ascii="Arial" w:hAnsi="Arial" w:cs="Arial"/>
          <w:i/>
        </w:rPr>
        <w:t xml:space="preserve">Control del Delito: se fortalecerá la infraestructura y los medios con los que cuentan los organismos de seguridad; se mejorará los procesos de inteligencia e investigación criminal; se fortalecerá la Escuela de Formación de la Policía Metropolitana de </w:t>
      </w:r>
      <w:r w:rsidR="00AD12F4" w:rsidRPr="0007015D">
        <w:rPr>
          <w:rFonts w:ascii="Arial" w:hAnsi="Arial" w:cs="Arial"/>
          <w:i/>
        </w:rPr>
        <w:t>Bogotá; y</w:t>
      </w:r>
      <w:r w:rsidRPr="0007015D">
        <w:rPr>
          <w:rFonts w:ascii="Arial" w:hAnsi="Arial" w:cs="Arial"/>
          <w:i/>
        </w:rPr>
        <w:t xml:space="preserve"> se afianzará el Modelo Nacional de Vigilancia Comunitaria por Cuadrantes (MNVCC) en las zonas de mayor incidencia de delitos, violencias y conflictividades. </w:t>
      </w:r>
    </w:p>
    <w:p w:rsidR="006B59AB" w:rsidRPr="0007015D" w:rsidRDefault="006B59AB" w:rsidP="006B59AB">
      <w:pPr>
        <w:widowControl w:val="0"/>
        <w:tabs>
          <w:tab w:val="left" w:pos="176"/>
        </w:tabs>
        <w:spacing w:after="0" w:line="240" w:lineRule="auto"/>
        <w:ind w:left="-108" w:right="-142"/>
        <w:jc w:val="both"/>
        <w:rPr>
          <w:rFonts w:ascii="Arial" w:hAnsi="Arial" w:cs="Arial"/>
          <w:i/>
          <w:sz w:val="24"/>
          <w:szCs w:val="24"/>
        </w:rPr>
      </w:pPr>
    </w:p>
    <w:p w:rsidR="006B59AB" w:rsidRPr="0007015D" w:rsidRDefault="006B59AB" w:rsidP="006B59AB">
      <w:pPr>
        <w:pStyle w:val="Prrafodelista"/>
        <w:widowControl w:val="0"/>
        <w:numPr>
          <w:ilvl w:val="0"/>
          <w:numId w:val="11"/>
        </w:numPr>
        <w:tabs>
          <w:tab w:val="left" w:pos="176"/>
        </w:tabs>
        <w:suppressAutoHyphens/>
        <w:ind w:left="176" w:right="-142" w:hanging="284"/>
        <w:jc w:val="both"/>
        <w:rPr>
          <w:rFonts w:ascii="Arial" w:hAnsi="Arial" w:cs="Arial"/>
          <w:i/>
        </w:rPr>
      </w:pPr>
      <w:r w:rsidRPr="0007015D">
        <w:rPr>
          <w:rFonts w:ascii="Arial" w:hAnsi="Arial" w:cs="Arial"/>
          <w:i/>
        </w:rPr>
        <w:t>Aumento de la confianza en las autoridades y mayor corresponsabilidad ciudadana en la gestión de la seguridad y la convivencia: se promoverá en las autoridades mecanismos que permitan tener una mejor comunicación con los ciudadanos. Además, se desarrollarán acciones orientadas a promover la cooperación decidida entre los ciudadanos y las autoridades a través de la activación de escenarios de corresponsabilidad</w:t>
      </w:r>
    </w:p>
    <w:p w:rsidR="003B7DEE" w:rsidRPr="0007015D" w:rsidRDefault="003B7DEE" w:rsidP="00284741">
      <w:pPr>
        <w:spacing w:after="0" w:line="240" w:lineRule="auto"/>
        <w:jc w:val="both"/>
        <w:rPr>
          <w:rFonts w:ascii="Arial" w:hAnsi="Arial" w:cs="Arial"/>
          <w:sz w:val="22"/>
          <w:szCs w:val="22"/>
        </w:rPr>
      </w:pPr>
    </w:p>
    <w:p w:rsidR="00CB6296" w:rsidRPr="0007015D" w:rsidRDefault="00CB6296" w:rsidP="00284741">
      <w:pPr>
        <w:spacing w:after="0" w:line="240" w:lineRule="auto"/>
        <w:jc w:val="both"/>
        <w:rPr>
          <w:rFonts w:ascii="Arial" w:hAnsi="Arial" w:cs="Arial"/>
          <w:sz w:val="22"/>
          <w:szCs w:val="22"/>
        </w:rPr>
      </w:pPr>
    </w:p>
    <w:p w:rsidR="003B7DEE" w:rsidRPr="0007015D" w:rsidRDefault="003B7DEE" w:rsidP="00284741">
      <w:pPr>
        <w:spacing w:after="0" w:line="240" w:lineRule="auto"/>
        <w:jc w:val="both"/>
        <w:rPr>
          <w:rFonts w:ascii="Arial" w:hAnsi="Arial" w:cs="Arial"/>
          <w:sz w:val="22"/>
          <w:szCs w:val="22"/>
        </w:rPr>
      </w:pPr>
    </w:p>
    <w:p w:rsidR="00F07EBA" w:rsidRPr="0007015D" w:rsidRDefault="00F07EBA" w:rsidP="00284741">
      <w:pPr>
        <w:spacing w:after="0" w:line="240" w:lineRule="auto"/>
        <w:jc w:val="both"/>
        <w:rPr>
          <w:rFonts w:ascii="Arial" w:hAnsi="Arial" w:cs="Arial"/>
          <w:sz w:val="22"/>
          <w:szCs w:val="22"/>
        </w:rPr>
      </w:pPr>
    </w:p>
    <w:p w:rsidR="00F07EBA" w:rsidRPr="0007015D" w:rsidRDefault="00FA3180" w:rsidP="00CB6296">
      <w:pPr>
        <w:pStyle w:val="Prrafodelista"/>
        <w:numPr>
          <w:ilvl w:val="0"/>
          <w:numId w:val="5"/>
        </w:numPr>
        <w:ind w:left="284" w:hanging="284"/>
        <w:rPr>
          <w:rFonts w:ascii="Arial" w:eastAsia="Arial" w:hAnsi="Arial" w:cs="Arial"/>
          <w:b/>
          <w:sz w:val="22"/>
          <w:szCs w:val="22"/>
        </w:rPr>
      </w:pPr>
      <w:r w:rsidRPr="0007015D">
        <w:rPr>
          <w:rFonts w:ascii="Arial" w:eastAsia="Arial" w:hAnsi="Arial" w:cs="Arial"/>
          <w:b/>
          <w:sz w:val="22"/>
          <w:szCs w:val="22"/>
        </w:rPr>
        <w:t>Política Pública</w:t>
      </w:r>
      <w:r w:rsidR="00F07EBA" w:rsidRPr="0007015D">
        <w:rPr>
          <w:rFonts w:ascii="Arial" w:eastAsia="Arial" w:hAnsi="Arial" w:cs="Arial"/>
          <w:b/>
          <w:sz w:val="22"/>
          <w:szCs w:val="22"/>
        </w:rPr>
        <w:t>:</w:t>
      </w:r>
    </w:p>
    <w:p w:rsidR="00CB6296" w:rsidRPr="0007015D" w:rsidRDefault="00CB6296" w:rsidP="00CB6296">
      <w:pPr>
        <w:spacing w:after="0"/>
        <w:jc w:val="both"/>
        <w:rPr>
          <w:rFonts w:ascii="Arial" w:eastAsia="Arial" w:hAnsi="Arial" w:cs="Arial"/>
          <w:sz w:val="22"/>
          <w:szCs w:val="22"/>
        </w:rPr>
      </w:pPr>
    </w:p>
    <w:p w:rsidR="003B7DEE" w:rsidRPr="0007015D" w:rsidRDefault="00717222" w:rsidP="00350A43">
      <w:pPr>
        <w:spacing w:after="0" w:line="240" w:lineRule="auto"/>
        <w:jc w:val="both"/>
        <w:rPr>
          <w:rFonts w:ascii="Arial" w:eastAsia="Arial" w:hAnsi="Arial" w:cs="Arial"/>
          <w:sz w:val="22"/>
          <w:szCs w:val="22"/>
        </w:rPr>
      </w:pPr>
      <w:r w:rsidRPr="0007015D">
        <w:rPr>
          <w:rFonts w:ascii="Arial" w:hAnsi="Arial" w:cs="Arial"/>
          <w:color w:val="000000"/>
          <w:sz w:val="22"/>
          <w:szCs w:val="22"/>
          <w:lang w:eastAsia="es-CO"/>
        </w:rPr>
        <w:t xml:space="preserve">Desde la creación de la Secretaría de Seguridad, Convivencia y Justicia se logró consolidar una política pública de seguridad y convivencia ciudadana y acceso a la justicia, reflejada en el Plan Integral de Seguridad, Convivencia y Acceso a la Justicia (PISCJ), </w:t>
      </w:r>
      <w:r w:rsidR="001804F3" w:rsidRPr="0007015D">
        <w:rPr>
          <w:rFonts w:ascii="Arial" w:eastAsia="Arial" w:hAnsi="Arial" w:cs="Arial"/>
          <w:sz w:val="22"/>
          <w:szCs w:val="22"/>
        </w:rPr>
        <w:t>en proceso de actualización bajo la orientación de la Secretaría Distrital de Planeación y la metodología CONPES.</w:t>
      </w:r>
    </w:p>
    <w:p w:rsidR="00350A43" w:rsidRPr="0007015D" w:rsidRDefault="00350A43" w:rsidP="00350A43">
      <w:pPr>
        <w:suppressAutoHyphens w:val="0"/>
        <w:spacing w:after="0" w:line="240" w:lineRule="auto"/>
        <w:jc w:val="both"/>
        <w:rPr>
          <w:rFonts w:ascii="Arial" w:hAnsi="Arial" w:cs="Arial"/>
          <w:sz w:val="22"/>
          <w:szCs w:val="22"/>
          <w:shd w:val="clear" w:color="auto" w:fill="FFFFFF"/>
          <w:lang w:eastAsia="es-ES"/>
        </w:rPr>
      </w:pPr>
    </w:p>
    <w:p w:rsidR="00A30EA6" w:rsidRPr="0007015D" w:rsidRDefault="00A30EA6" w:rsidP="00350A43">
      <w:pPr>
        <w:suppressAutoHyphens w:val="0"/>
        <w:spacing w:after="0" w:line="240" w:lineRule="auto"/>
        <w:jc w:val="both"/>
        <w:rPr>
          <w:sz w:val="22"/>
          <w:szCs w:val="22"/>
          <w:lang w:eastAsia="es-ES"/>
        </w:rPr>
      </w:pPr>
      <w:r w:rsidRPr="0007015D">
        <w:rPr>
          <w:rFonts w:ascii="Arial" w:hAnsi="Arial" w:cs="Arial"/>
          <w:sz w:val="22"/>
          <w:szCs w:val="22"/>
          <w:shd w:val="clear" w:color="auto" w:fill="FFFFFF"/>
          <w:lang w:eastAsia="es-ES"/>
        </w:rPr>
        <w:t>El diseño del PISCJ - comprende tres fases.  La primera de diagnóstico en la que se caracterizan las dinámicas del delito, la</w:t>
      </w:r>
      <w:r w:rsidR="006F6AC4" w:rsidRPr="0007015D">
        <w:rPr>
          <w:rFonts w:ascii="Arial" w:hAnsi="Arial" w:cs="Arial"/>
          <w:sz w:val="22"/>
          <w:szCs w:val="22"/>
          <w:shd w:val="clear" w:color="auto" w:fill="FFFFFF"/>
          <w:lang w:eastAsia="es-ES"/>
        </w:rPr>
        <w:t xml:space="preserve">s </w:t>
      </w:r>
      <w:r w:rsidRPr="0007015D">
        <w:rPr>
          <w:rFonts w:ascii="Arial" w:hAnsi="Arial" w:cs="Arial"/>
          <w:sz w:val="22"/>
          <w:szCs w:val="22"/>
          <w:shd w:val="clear" w:color="auto" w:fill="FFFFFF"/>
          <w:lang w:eastAsia="es-ES"/>
        </w:rPr>
        <w:t>conflictividades generadas por la convivencia, y los obstáculos a los que se enfrenta la ciudadanía para acceder a los servicios de justicia. La segunda de formulación de estrategias enfocadas a la reducción de los homicidios, hurtos y microtráfico, contemplando enfoques de prevención, control, judicialización y sanción del delito.</w:t>
      </w:r>
    </w:p>
    <w:p w:rsidR="00350A43" w:rsidRPr="0007015D" w:rsidRDefault="00350A43" w:rsidP="00350A43">
      <w:pPr>
        <w:shd w:val="clear" w:color="auto" w:fill="FFFFFF"/>
        <w:suppressAutoHyphens w:val="0"/>
        <w:spacing w:after="0" w:line="240" w:lineRule="auto"/>
        <w:jc w:val="both"/>
        <w:rPr>
          <w:rFonts w:ascii="Arial" w:hAnsi="Arial" w:cs="Arial"/>
          <w:sz w:val="22"/>
          <w:szCs w:val="22"/>
          <w:lang w:eastAsia="es-ES"/>
        </w:rPr>
      </w:pPr>
    </w:p>
    <w:p w:rsidR="00A30EA6" w:rsidRPr="0007015D" w:rsidRDefault="00A30EA6" w:rsidP="00350A43">
      <w:pPr>
        <w:shd w:val="clear" w:color="auto" w:fill="FFFFFF"/>
        <w:suppressAutoHyphens w:val="0"/>
        <w:spacing w:after="0" w:line="240" w:lineRule="auto"/>
        <w:jc w:val="both"/>
        <w:rPr>
          <w:rFonts w:ascii="Arial" w:hAnsi="Arial" w:cs="Arial"/>
          <w:sz w:val="22"/>
          <w:szCs w:val="22"/>
          <w:lang w:eastAsia="es-ES"/>
        </w:rPr>
      </w:pPr>
      <w:r w:rsidRPr="0007015D">
        <w:rPr>
          <w:rFonts w:ascii="Arial" w:hAnsi="Arial" w:cs="Arial"/>
          <w:sz w:val="22"/>
          <w:szCs w:val="22"/>
          <w:lang w:eastAsia="es-ES"/>
        </w:rPr>
        <w:t>Dentro de las estrategias de prevención del delito se contemplan la promoción de entornos seguros, participación ciudadana y reducción de factores de riesgo que faciliten la ocurrencia de delitos en poblaciones vulnerables. Paralelamente, en control del delito se plantea la implementación de modelos de control integral de territorio y el fortalecimiento de las entidades de Seguridad. El PISCJ es el marco de acción para la implementación de la política de seguri</w:t>
      </w:r>
      <w:r w:rsidR="00717222" w:rsidRPr="0007015D">
        <w:rPr>
          <w:rFonts w:ascii="Arial" w:hAnsi="Arial" w:cs="Arial"/>
          <w:sz w:val="22"/>
          <w:szCs w:val="22"/>
          <w:lang w:eastAsia="es-ES"/>
        </w:rPr>
        <w:t>dad de Bogotá D.C. dirigida a</w:t>
      </w:r>
      <w:r w:rsidRPr="0007015D">
        <w:rPr>
          <w:rFonts w:ascii="Arial" w:hAnsi="Arial" w:cs="Arial"/>
          <w:sz w:val="22"/>
          <w:szCs w:val="22"/>
          <w:lang w:eastAsia="es-ES"/>
        </w:rPr>
        <w:t xml:space="preserve"> la reducción de los índices de criminalidad en la ciudad, en línea con el Plan Distrital de Desarrollo 2016-2020</w:t>
      </w:r>
    </w:p>
    <w:p w:rsidR="00A30EA6" w:rsidRPr="0007015D" w:rsidRDefault="00A30EA6" w:rsidP="00CB6296">
      <w:pPr>
        <w:spacing w:after="0" w:line="240" w:lineRule="auto"/>
        <w:jc w:val="both"/>
        <w:rPr>
          <w:rFonts w:ascii="Arial" w:eastAsia="Arial" w:hAnsi="Arial" w:cs="Arial"/>
          <w:b/>
          <w:sz w:val="22"/>
          <w:szCs w:val="22"/>
        </w:rPr>
      </w:pPr>
    </w:p>
    <w:p w:rsidR="00FA3180" w:rsidRPr="0007015D" w:rsidRDefault="00F07EBA" w:rsidP="00CB6296">
      <w:pPr>
        <w:pStyle w:val="Prrafodelista"/>
        <w:numPr>
          <w:ilvl w:val="0"/>
          <w:numId w:val="5"/>
        </w:numPr>
        <w:ind w:left="284" w:hanging="284"/>
        <w:rPr>
          <w:rFonts w:ascii="Arial" w:eastAsia="Arial" w:hAnsi="Arial" w:cs="Arial"/>
          <w:sz w:val="22"/>
          <w:szCs w:val="22"/>
        </w:rPr>
      </w:pPr>
      <w:r w:rsidRPr="0007015D">
        <w:rPr>
          <w:rFonts w:ascii="Arial" w:eastAsia="Arial" w:hAnsi="Arial" w:cs="Arial"/>
          <w:b/>
          <w:sz w:val="22"/>
          <w:szCs w:val="22"/>
        </w:rPr>
        <w:t xml:space="preserve">Población </w:t>
      </w:r>
    </w:p>
    <w:p w:rsidR="00FA3180" w:rsidRPr="0007015D" w:rsidRDefault="00FA3180" w:rsidP="00CB6296">
      <w:pPr>
        <w:spacing w:after="0"/>
        <w:rPr>
          <w:rFonts w:ascii="Arial" w:eastAsia="Arial" w:hAnsi="Arial" w:cs="Arial"/>
          <w:b/>
          <w:sz w:val="22"/>
          <w:szCs w:val="22"/>
        </w:rPr>
      </w:pPr>
    </w:p>
    <w:p w:rsidR="009056AC" w:rsidRPr="0007015D" w:rsidRDefault="00084DA7" w:rsidP="00CB6296">
      <w:pPr>
        <w:spacing w:after="0"/>
        <w:jc w:val="both"/>
        <w:rPr>
          <w:rFonts w:ascii="Arial" w:eastAsia="Arial" w:hAnsi="Arial" w:cs="Arial"/>
          <w:sz w:val="22"/>
          <w:szCs w:val="22"/>
        </w:rPr>
      </w:pPr>
      <w:r w:rsidRPr="0007015D">
        <w:rPr>
          <w:rFonts w:ascii="Arial" w:eastAsia="Arial" w:hAnsi="Arial" w:cs="Arial"/>
          <w:b/>
          <w:sz w:val="22"/>
          <w:szCs w:val="22"/>
        </w:rPr>
        <w:t>Total</w:t>
      </w:r>
      <w:r w:rsidR="00F07EBA" w:rsidRPr="0007015D">
        <w:rPr>
          <w:rFonts w:ascii="Arial" w:eastAsia="Arial" w:hAnsi="Arial" w:cs="Arial"/>
          <w:b/>
          <w:sz w:val="22"/>
          <w:szCs w:val="22"/>
        </w:rPr>
        <w:t xml:space="preserve"> afectada:</w:t>
      </w:r>
      <w:r w:rsidR="00A07F24" w:rsidRPr="0007015D">
        <w:rPr>
          <w:rFonts w:ascii="Arial" w:eastAsia="Arial" w:hAnsi="Arial" w:cs="Arial"/>
          <w:b/>
          <w:sz w:val="22"/>
          <w:szCs w:val="22"/>
        </w:rPr>
        <w:t xml:space="preserve"> </w:t>
      </w:r>
      <w:r w:rsidR="007951CC" w:rsidRPr="0007015D">
        <w:rPr>
          <w:rFonts w:ascii="Arial" w:eastAsia="Arial" w:hAnsi="Arial" w:cs="Arial"/>
          <w:b/>
          <w:sz w:val="22"/>
          <w:szCs w:val="22"/>
        </w:rPr>
        <w:t xml:space="preserve">7.412.566 </w:t>
      </w:r>
      <w:r w:rsidR="009056AC" w:rsidRPr="0007015D">
        <w:rPr>
          <w:rFonts w:ascii="Arial" w:eastAsia="Arial" w:hAnsi="Arial" w:cs="Arial"/>
          <w:sz w:val="22"/>
          <w:szCs w:val="22"/>
        </w:rPr>
        <w:t>habitantes de la ciudad de Bogotá D.C.</w:t>
      </w:r>
    </w:p>
    <w:p w:rsidR="009056AC" w:rsidRPr="0007015D" w:rsidRDefault="00F07EBA" w:rsidP="00CB6296">
      <w:pPr>
        <w:spacing w:after="0"/>
        <w:jc w:val="both"/>
        <w:rPr>
          <w:rFonts w:ascii="Arial" w:eastAsia="Arial" w:hAnsi="Arial" w:cs="Arial"/>
          <w:sz w:val="22"/>
          <w:szCs w:val="22"/>
        </w:rPr>
      </w:pPr>
      <w:r w:rsidRPr="0007015D">
        <w:rPr>
          <w:rFonts w:ascii="Arial" w:eastAsia="Arial" w:hAnsi="Arial" w:cs="Arial"/>
          <w:b/>
          <w:sz w:val="22"/>
          <w:szCs w:val="22"/>
        </w:rPr>
        <w:t>Población a atender en la vigencia:</w:t>
      </w:r>
      <w:r w:rsidR="00A07F24" w:rsidRPr="0007015D">
        <w:rPr>
          <w:rFonts w:ascii="Arial" w:eastAsia="Arial" w:hAnsi="Arial" w:cs="Arial"/>
          <w:b/>
          <w:sz w:val="22"/>
          <w:szCs w:val="22"/>
        </w:rPr>
        <w:t xml:space="preserve"> </w:t>
      </w:r>
      <w:r w:rsidR="007951CC" w:rsidRPr="0007015D">
        <w:rPr>
          <w:rFonts w:ascii="Arial" w:eastAsia="Arial" w:hAnsi="Arial" w:cs="Arial"/>
          <w:b/>
          <w:sz w:val="22"/>
          <w:szCs w:val="22"/>
        </w:rPr>
        <w:t xml:space="preserve">7.412.566 </w:t>
      </w:r>
      <w:r w:rsidR="009056AC" w:rsidRPr="0007015D">
        <w:rPr>
          <w:rFonts w:ascii="Arial" w:eastAsia="Arial" w:hAnsi="Arial" w:cs="Arial"/>
          <w:sz w:val="22"/>
          <w:szCs w:val="22"/>
        </w:rPr>
        <w:t>habitantes de la ciudad de Bogotá</w:t>
      </w:r>
      <w:r w:rsidR="00A07F24" w:rsidRPr="0007015D">
        <w:rPr>
          <w:rFonts w:ascii="Arial" w:eastAsia="Arial" w:hAnsi="Arial" w:cs="Arial"/>
          <w:sz w:val="22"/>
          <w:szCs w:val="22"/>
        </w:rPr>
        <w:t xml:space="preserve"> D.</w:t>
      </w:r>
      <w:r w:rsidR="009056AC" w:rsidRPr="0007015D">
        <w:rPr>
          <w:rFonts w:ascii="Arial" w:eastAsia="Arial" w:hAnsi="Arial" w:cs="Arial"/>
          <w:sz w:val="22"/>
          <w:szCs w:val="22"/>
        </w:rPr>
        <w:t>C.</w:t>
      </w:r>
    </w:p>
    <w:p w:rsidR="009056AC" w:rsidRPr="0007015D" w:rsidRDefault="00F07EBA" w:rsidP="00FA3180">
      <w:pPr>
        <w:jc w:val="both"/>
        <w:rPr>
          <w:rFonts w:ascii="Arial" w:eastAsia="Arial" w:hAnsi="Arial" w:cs="Arial"/>
          <w:sz w:val="22"/>
          <w:szCs w:val="22"/>
        </w:rPr>
      </w:pPr>
      <w:r w:rsidRPr="0007015D">
        <w:rPr>
          <w:rFonts w:ascii="Arial" w:eastAsia="Arial" w:hAnsi="Arial" w:cs="Arial"/>
          <w:b/>
          <w:sz w:val="22"/>
          <w:szCs w:val="22"/>
        </w:rPr>
        <w:t>Población atendida en la vigencia</w:t>
      </w:r>
      <w:r w:rsidR="009726BF" w:rsidRPr="0007015D">
        <w:rPr>
          <w:rFonts w:ascii="Arial" w:eastAsia="Arial" w:hAnsi="Arial" w:cs="Arial"/>
          <w:b/>
          <w:sz w:val="22"/>
          <w:szCs w:val="22"/>
        </w:rPr>
        <w:t>:</w:t>
      </w:r>
      <w:r w:rsidR="00A07F24" w:rsidRPr="0007015D">
        <w:rPr>
          <w:rFonts w:ascii="Arial" w:eastAsia="Arial" w:hAnsi="Arial" w:cs="Arial"/>
          <w:b/>
          <w:sz w:val="22"/>
          <w:szCs w:val="22"/>
        </w:rPr>
        <w:t xml:space="preserve"> </w:t>
      </w:r>
      <w:r w:rsidR="007951CC" w:rsidRPr="0007015D">
        <w:rPr>
          <w:rFonts w:ascii="Arial" w:eastAsia="Arial" w:hAnsi="Arial" w:cs="Arial"/>
          <w:b/>
          <w:sz w:val="22"/>
          <w:szCs w:val="22"/>
        </w:rPr>
        <w:t xml:space="preserve">7.412.566 </w:t>
      </w:r>
      <w:r w:rsidR="007951CC" w:rsidRPr="0007015D">
        <w:rPr>
          <w:rFonts w:ascii="Arial" w:eastAsia="Arial" w:hAnsi="Arial" w:cs="Arial"/>
          <w:sz w:val="22"/>
          <w:szCs w:val="22"/>
        </w:rPr>
        <w:t>habitantes</w:t>
      </w:r>
      <w:r w:rsidR="009056AC" w:rsidRPr="0007015D">
        <w:rPr>
          <w:rFonts w:ascii="Arial" w:eastAsia="Arial" w:hAnsi="Arial" w:cs="Arial"/>
          <w:sz w:val="22"/>
          <w:szCs w:val="22"/>
        </w:rPr>
        <w:t xml:space="preserve"> de la ciudad de Bogotá </w:t>
      </w:r>
      <w:r w:rsidR="00A07F24" w:rsidRPr="0007015D">
        <w:rPr>
          <w:rFonts w:ascii="Arial" w:eastAsia="Arial" w:hAnsi="Arial" w:cs="Arial"/>
          <w:sz w:val="22"/>
          <w:szCs w:val="22"/>
        </w:rPr>
        <w:t>D.C</w:t>
      </w:r>
    </w:p>
    <w:p w:rsidR="00553FF4" w:rsidRPr="0007015D" w:rsidRDefault="00553FF4" w:rsidP="00FA3180">
      <w:pPr>
        <w:jc w:val="both"/>
        <w:rPr>
          <w:rFonts w:ascii="Arial" w:eastAsia="Arial" w:hAnsi="Arial" w:cs="Arial"/>
        </w:rPr>
      </w:pPr>
      <w:r w:rsidRPr="0007015D">
        <w:rPr>
          <w:rFonts w:ascii="Arial" w:eastAsia="Arial" w:hAnsi="Arial" w:cs="Arial"/>
        </w:rPr>
        <w:t>Fue</w:t>
      </w:r>
      <w:r w:rsidR="00503EA2" w:rsidRPr="0007015D">
        <w:rPr>
          <w:rFonts w:ascii="Arial" w:eastAsia="Arial" w:hAnsi="Arial" w:cs="Arial"/>
        </w:rPr>
        <w:t>n</w:t>
      </w:r>
      <w:r w:rsidRPr="0007015D">
        <w:rPr>
          <w:rFonts w:ascii="Arial" w:eastAsia="Arial" w:hAnsi="Arial" w:cs="Arial"/>
        </w:rPr>
        <w:t>te: Población de Bogotá D.C., DANE</w:t>
      </w:r>
    </w:p>
    <w:p w:rsidR="00E30D3B" w:rsidRPr="0007015D" w:rsidRDefault="00E30D3B" w:rsidP="00843DBF">
      <w:pPr>
        <w:spacing w:after="0" w:line="240" w:lineRule="auto"/>
        <w:jc w:val="both"/>
        <w:rPr>
          <w:rFonts w:ascii="Arial" w:eastAsia="Arial" w:hAnsi="Arial" w:cs="Arial"/>
          <w:sz w:val="22"/>
          <w:szCs w:val="22"/>
        </w:rPr>
      </w:pPr>
    </w:p>
    <w:p w:rsidR="00E30D3B" w:rsidRPr="0007015D" w:rsidRDefault="00E30D3B" w:rsidP="00843DBF">
      <w:pPr>
        <w:spacing w:after="0" w:line="240" w:lineRule="auto"/>
        <w:jc w:val="both"/>
        <w:rPr>
          <w:rFonts w:ascii="Arial" w:eastAsia="Arial" w:hAnsi="Arial" w:cs="Arial"/>
          <w:sz w:val="22"/>
          <w:szCs w:val="22"/>
        </w:rPr>
      </w:pPr>
    </w:p>
    <w:p w:rsidR="00E30D3B" w:rsidRPr="0007015D" w:rsidRDefault="00E30D3B" w:rsidP="00843DBF">
      <w:pPr>
        <w:spacing w:after="0" w:line="240" w:lineRule="auto"/>
        <w:jc w:val="both"/>
        <w:rPr>
          <w:rFonts w:ascii="Arial" w:eastAsia="Arial" w:hAnsi="Arial" w:cs="Arial"/>
          <w:sz w:val="22"/>
          <w:szCs w:val="22"/>
        </w:rPr>
      </w:pPr>
    </w:p>
    <w:p w:rsidR="005E7BA0" w:rsidRPr="0007015D" w:rsidRDefault="005C2EE5" w:rsidP="00843DBF">
      <w:pPr>
        <w:spacing w:after="0" w:line="240" w:lineRule="auto"/>
        <w:jc w:val="both"/>
        <w:rPr>
          <w:rFonts w:ascii="Arial" w:eastAsia="Arial" w:hAnsi="Arial" w:cs="Arial"/>
          <w:sz w:val="22"/>
          <w:szCs w:val="22"/>
        </w:rPr>
      </w:pPr>
      <w:r w:rsidRPr="0007015D">
        <w:rPr>
          <w:rFonts w:ascii="Arial" w:eastAsia="Arial" w:hAnsi="Arial" w:cs="Arial"/>
          <w:sz w:val="22"/>
          <w:szCs w:val="22"/>
        </w:rPr>
        <w:t xml:space="preserve">El punto </w:t>
      </w:r>
      <w:r w:rsidRPr="0007015D">
        <w:rPr>
          <w:rFonts w:ascii="Arial" w:eastAsia="Arial" w:hAnsi="Arial" w:cs="Arial"/>
          <w:b/>
          <w:sz w:val="22"/>
          <w:szCs w:val="22"/>
        </w:rPr>
        <w:t>4. Proyecto (s) de inversión</w:t>
      </w:r>
      <w:r w:rsidRPr="0007015D">
        <w:rPr>
          <w:rFonts w:ascii="Arial" w:eastAsia="Arial" w:hAnsi="Arial" w:cs="Arial"/>
          <w:sz w:val="22"/>
          <w:szCs w:val="22"/>
        </w:rPr>
        <w:t xml:space="preserve"> y </w:t>
      </w:r>
      <w:r w:rsidRPr="0007015D">
        <w:rPr>
          <w:rFonts w:ascii="Arial" w:eastAsia="Arial" w:hAnsi="Arial" w:cs="Arial"/>
          <w:b/>
          <w:sz w:val="22"/>
          <w:szCs w:val="22"/>
        </w:rPr>
        <w:t>5.</w:t>
      </w:r>
      <w:r w:rsidRPr="0007015D">
        <w:rPr>
          <w:rFonts w:ascii="Arial" w:eastAsia="Arial" w:hAnsi="Arial" w:cs="Arial"/>
          <w:sz w:val="22"/>
          <w:szCs w:val="22"/>
        </w:rPr>
        <w:t xml:space="preserve"> </w:t>
      </w:r>
      <w:r w:rsidRPr="0007015D">
        <w:rPr>
          <w:rFonts w:ascii="Arial" w:eastAsia="Arial" w:hAnsi="Arial" w:cs="Arial"/>
          <w:b/>
          <w:sz w:val="22"/>
          <w:szCs w:val="22"/>
        </w:rPr>
        <w:t>Acciones</w:t>
      </w:r>
      <w:r w:rsidRPr="0007015D">
        <w:rPr>
          <w:rFonts w:ascii="Arial" w:eastAsia="Arial" w:hAnsi="Arial" w:cs="Arial"/>
          <w:sz w:val="22"/>
          <w:szCs w:val="22"/>
        </w:rPr>
        <w:t xml:space="preserve"> se </w:t>
      </w:r>
      <w:r w:rsidR="00284741" w:rsidRPr="0007015D">
        <w:rPr>
          <w:rFonts w:ascii="Arial" w:eastAsia="Arial" w:hAnsi="Arial" w:cs="Arial"/>
          <w:sz w:val="22"/>
          <w:szCs w:val="22"/>
        </w:rPr>
        <w:t>v</w:t>
      </w:r>
      <w:r w:rsidR="00054D84" w:rsidRPr="0007015D">
        <w:rPr>
          <w:rFonts w:ascii="Arial" w:eastAsia="Arial" w:hAnsi="Arial" w:cs="Arial"/>
          <w:sz w:val="22"/>
          <w:szCs w:val="22"/>
        </w:rPr>
        <w:t>isualizan en el siguiente cuadro:</w:t>
      </w:r>
    </w:p>
    <w:p w:rsidR="005E7BA0" w:rsidRDefault="005E7BA0">
      <w:pPr>
        <w:suppressAutoHyphens w:val="0"/>
        <w:rPr>
          <w:rFonts w:ascii="Arial" w:eastAsia="Arial" w:hAnsi="Arial" w:cs="Arial"/>
          <w:sz w:val="22"/>
          <w:szCs w:val="22"/>
        </w:rPr>
      </w:pPr>
    </w:p>
    <w:p w:rsidR="001D14C5" w:rsidRDefault="001D14C5">
      <w:pPr>
        <w:suppressAutoHyphens w:val="0"/>
        <w:rPr>
          <w:rFonts w:ascii="Arial" w:eastAsia="Arial" w:hAnsi="Arial" w:cs="Arial"/>
          <w:sz w:val="22"/>
          <w:szCs w:val="22"/>
        </w:rPr>
      </w:pPr>
    </w:p>
    <w:p w:rsidR="001D14C5" w:rsidRDefault="001D14C5">
      <w:pPr>
        <w:suppressAutoHyphens w:val="0"/>
        <w:rPr>
          <w:rFonts w:ascii="Arial" w:eastAsia="Arial" w:hAnsi="Arial" w:cs="Arial"/>
          <w:sz w:val="22"/>
          <w:szCs w:val="22"/>
        </w:rPr>
      </w:pPr>
    </w:p>
    <w:p w:rsidR="001D14C5" w:rsidRDefault="001D14C5">
      <w:pPr>
        <w:suppressAutoHyphens w:val="0"/>
        <w:rPr>
          <w:rFonts w:ascii="Arial" w:eastAsia="Arial" w:hAnsi="Arial" w:cs="Arial"/>
          <w:sz w:val="22"/>
          <w:szCs w:val="22"/>
        </w:rPr>
      </w:pPr>
    </w:p>
    <w:p w:rsidR="001D14C5" w:rsidRDefault="001D14C5">
      <w:pPr>
        <w:suppressAutoHyphens w:val="0"/>
        <w:rPr>
          <w:rFonts w:ascii="Arial" w:eastAsia="Arial" w:hAnsi="Arial" w:cs="Arial"/>
          <w:sz w:val="22"/>
          <w:szCs w:val="22"/>
        </w:rPr>
      </w:pPr>
    </w:p>
    <w:p w:rsidR="002E0574" w:rsidRDefault="002E0574">
      <w:pPr>
        <w:suppressAutoHyphens w:val="0"/>
        <w:rPr>
          <w:rFonts w:ascii="Arial" w:eastAsia="Arial" w:hAnsi="Arial" w:cs="Arial"/>
          <w:sz w:val="22"/>
          <w:szCs w:val="22"/>
        </w:rPr>
        <w:sectPr w:rsidR="002E0574" w:rsidSect="00C47070">
          <w:headerReference w:type="default" r:id="rId8"/>
          <w:footerReference w:type="default" r:id="rId9"/>
          <w:pgSz w:w="12240" w:h="15840"/>
          <w:pgMar w:top="2268" w:right="1701" w:bottom="1701" w:left="1701" w:header="709" w:footer="709" w:gutter="0"/>
          <w:cols w:space="720"/>
          <w:formProt w:val="0"/>
          <w:docGrid w:linePitch="360"/>
        </w:sectPr>
      </w:pPr>
    </w:p>
    <w:p w:rsidR="002E0574" w:rsidRDefault="002E0574">
      <w:pPr>
        <w:suppressAutoHyphens w:val="0"/>
        <w:rPr>
          <w:rFonts w:ascii="Arial" w:eastAsia="Arial" w:hAnsi="Arial" w:cs="Arial"/>
          <w:sz w:val="22"/>
          <w:szCs w:val="22"/>
        </w:rPr>
      </w:pPr>
    </w:p>
    <w:tbl>
      <w:tblPr>
        <w:tblW w:w="6343" w:type="pct"/>
        <w:tblInd w:w="-1139" w:type="dxa"/>
        <w:tblLayout w:type="fixed"/>
        <w:tblCellMar>
          <w:left w:w="70" w:type="dxa"/>
          <w:right w:w="70" w:type="dxa"/>
        </w:tblCellMar>
        <w:tblLook w:val="04A0" w:firstRow="1" w:lastRow="0" w:firstColumn="1" w:lastColumn="0" w:noHBand="0" w:noVBand="1"/>
      </w:tblPr>
      <w:tblGrid>
        <w:gridCol w:w="567"/>
        <w:gridCol w:w="993"/>
        <w:gridCol w:w="569"/>
        <w:gridCol w:w="1420"/>
        <w:gridCol w:w="665"/>
        <w:gridCol w:w="1703"/>
        <w:gridCol w:w="764"/>
        <w:gridCol w:w="1709"/>
        <w:gridCol w:w="6657"/>
      </w:tblGrid>
      <w:tr w:rsidR="000445F8" w:rsidRPr="00F948EE" w:rsidTr="000445F8">
        <w:trPr>
          <w:trHeight w:val="1290"/>
          <w:tblHeader/>
        </w:trPr>
        <w:tc>
          <w:tcPr>
            <w:tcW w:w="518" w:type="pct"/>
            <w:gridSpan w:val="2"/>
            <w:tcBorders>
              <w:top w:val="single" w:sz="4" w:space="0" w:color="auto"/>
              <w:left w:val="single" w:sz="4" w:space="0" w:color="auto"/>
              <w:bottom w:val="single" w:sz="4" w:space="0" w:color="auto"/>
              <w:right w:val="single" w:sz="4" w:space="0" w:color="000000"/>
            </w:tcBorders>
            <w:shd w:val="clear" w:color="000000" w:fill="1F497D"/>
            <w:vAlign w:val="center"/>
            <w:hideMark/>
          </w:tcPr>
          <w:p w:rsidR="002E0574" w:rsidRPr="00B3694F" w:rsidRDefault="002E0574" w:rsidP="007B005E">
            <w:pPr>
              <w:spacing w:after="0" w:line="240" w:lineRule="auto"/>
              <w:jc w:val="center"/>
              <w:rPr>
                <w:rFonts w:ascii="Arial" w:hAnsi="Arial" w:cs="Arial"/>
                <w:b/>
                <w:bCs/>
                <w:color w:val="FFFFFF"/>
                <w:sz w:val="16"/>
                <w:szCs w:val="16"/>
                <w:lang w:eastAsia="es-CO"/>
              </w:rPr>
            </w:pPr>
            <w:r w:rsidRPr="00B3694F">
              <w:rPr>
                <w:rFonts w:ascii="Arial" w:hAnsi="Arial" w:cs="Arial"/>
                <w:b/>
                <w:bCs/>
                <w:color w:val="FFFFFF"/>
                <w:sz w:val="16"/>
                <w:szCs w:val="16"/>
                <w:lang w:eastAsia="es-CO"/>
              </w:rPr>
              <w:t>PROYECTO DE INVERSIÓN</w:t>
            </w:r>
          </w:p>
        </w:tc>
        <w:tc>
          <w:tcPr>
            <w:tcW w:w="660" w:type="pct"/>
            <w:gridSpan w:val="2"/>
            <w:tcBorders>
              <w:top w:val="single" w:sz="4" w:space="0" w:color="auto"/>
              <w:left w:val="nil"/>
              <w:bottom w:val="single" w:sz="4" w:space="0" w:color="auto"/>
              <w:right w:val="single" w:sz="4" w:space="0" w:color="000000"/>
            </w:tcBorders>
            <w:shd w:val="clear" w:color="000000" w:fill="1F497D"/>
            <w:vAlign w:val="center"/>
            <w:hideMark/>
          </w:tcPr>
          <w:p w:rsidR="002E0574" w:rsidRPr="00B3694F" w:rsidRDefault="002E0574" w:rsidP="007B005E">
            <w:pPr>
              <w:spacing w:after="0" w:line="240" w:lineRule="auto"/>
              <w:jc w:val="center"/>
              <w:rPr>
                <w:rFonts w:ascii="Arial" w:hAnsi="Arial" w:cs="Arial"/>
                <w:b/>
                <w:bCs/>
                <w:color w:val="FFFFFF"/>
                <w:sz w:val="16"/>
                <w:szCs w:val="16"/>
                <w:lang w:eastAsia="es-CO"/>
              </w:rPr>
            </w:pPr>
            <w:r w:rsidRPr="00B3694F">
              <w:rPr>
                <w:rFonts w:ascii="Arial" w:hAnsi="Arial" w:cs="Arial"/>
                <w:b/>
                <w:bCs/>
                <w:color w:val="FFFFFF"/>
                <w:sz w:val="16"/>
                <w:szCs w:val="16"/>
                <w:lang w:eastAsia="es-CO"/>
              </w:rPr>
              <w:t>META PROYECTO  DE INVERSIÓN</w:t>
            </w:r>
          </w:p>
        </w:tc>
        <w:tc>
          <w:tcPr>
            <w:tcW w:w="787" w:type="pct"/>
            <w:gridSpan w:val="2"/>
            <w:tcBorders>
              <w:top w:val="single" w:sz="8" w:space="0" w:color="auto"/>
              <w:left w:val="nil"/>
              <w:bottom w:val="single" w:sz="8" w:space="0" w:color="auto"/>
              <w:right w:val="single" w:sz="4" w:space="0" w:color="000000"/>
            </w:tcBorders>
            <w:shd w:val="clear" w:color="000000" w:fill="1F497D"/>
            <w:vAlign w:val="center"/>
            <w:hideMark/>
          </w:tcPr>
          <w:p w:rsidR="002E0574" w:rsidRPr="00B3694F" w:rsidRDefault="002E0574" w:rsidP="007B005E">
            <w:pPr>
              <w:spacing w:after="0" w:line="240" w:lineRule="auto"/>
              <w:jc w:val="center"/>
              <w:rPr>
                <w:rFonts w:ascii="Arial" w:hAnsi="Arial" w:cs="Arial"/>
                <w:b/>
                <w:bCs/>
                <w:color w:val="FFFFFF"/>
                <w:sz w:val="16"/>
                <w:szCs w:val="16"/>
                <w:lang w:eastAsia="es-CO"/>
              </w:rPr>
            </w:pPr>
            <w:r w:rsidRPr="00B3694F">
              <w:rPr>
                <w:rFonts w:ascii="Arial" w:hAnsi="Arial" w:cs="Arial"/>
                <w:b/>
                <w:bCs/>
                <w:color w:val="FFFFFF"/>
                <w:sz w:val="16"/>
                <w:szCs w:val="16"/>
                <w:lang w:eastAsia="es-CO"/>
              </w:rPr>
              <w:t>PROGRAMADO</w:t>
            </w:r>
          </w:p>
        </w:tc>
        <w:tc>
          <w:tcPr>
            <w:tcW w:w="822" w:type="pct"/>
            <w:gridSpan w:val="2"/>
            <w:tcBorders>
              <w:top w:val="single" w:sz="8" w:space="0" w:color="auto"/>
              <w:left w:val="nil"/>
              <w:bottom w:val="single" w:sz="8" w:space="0" w:color="auto"/>
              <w:right w:val="single" w:sz="8" w:space="0" w:color="000000"/>
            </w:tcBorders>
            <w:shd w:val="clear" w:color="000000" w:fill="1F497D"/>
            <w:vAlign w:val="center"/>
            <w:hideMark/>
          </w:tcPr>
          <w:p w:rsidR="002E0574" w:rsidRPr="00B3694F" w:rsidRDefault="002E0574" w:rsidP="007B005E">
            <w:pPr>
              <w:spacing w:after="0" w:line="240" w:lineRule="auto"/>
              <w:jc w:val="center"/>
              <w:rPr>
                <w:rFonts w:ascii="Arial" w:hAnsi="Arial" w:cs="Arial"/>
                <w:b/>
                <w:bCs/>
                <w:color w:val="FFFFFF"/>
                <w:sz w:val="16"/>
                <w:szCs w:val="16"/>
                <w:lang w:eastAsia="es-CO"/>
              </w:rPr>
            </w:pPr>
            <w:r w:rsidRPr="00B3694F">
              <w:rPr>
                <w:rFonts w:ascii="Arial" w:hAnsi="Arial" w:cs="Arial"/>
                <w:b/>
                <w:bCs/>
                <w:color w:val="FFFFFF"/>
                <w:sz w:val="16"/>
                <w:szCs w:val="16"/>
                <w:lang w:eastAsia="es-CO"/>
              </w:rPr>
              <w:t>EJECUTADO</w:t>
            </w:r>
          </w:p>
        </w:tc>
        <w:tc>
          <w:tcPr>
            <w:tcW w:w="2213" w:type="pct"/>
            <w:tcBorders>
              <w:top w:val="single" w:sz="8" w:space="0" w:color="auto"/>
              <w:left w:val="nil"/>
              <w:bottom w:val="nil"/>
              <w:right w:val="single" w:sz="4" w:space="0" w:color="auto"/>
            </w:tcBorders>
            <w:shd w:val="clear" w:color="000000" w:fill="1F497D"/>
            <w:vAlign w:val="center"/>
            <w:hideMark/>
          </w:tcPr>
          <w:p w:rsidR="002E0574" w:rsidRPr="00B3694F" w:rsidRDefault="002E0574" w:rsidP="007B005E">
            <w:pPr>
              <w:spacing w:after="0" w:line="240" w:lineRule="auto"/>
              <w:jc w:val="center"/>
              <w:rPr>
                <w:rFonts w:ascii="Arial" w:hAnsi="Arial" w:cs="Arial"/>
                <w:b/>
                <w:bCs/>
                <w:color w:val="FFFFFF"/>
                <w:sz w:val="16"/>
                <w:szCs w:val="16"/>
                <w:lang w:eastAsia="es-CO"/>
              </w:rPr>
            </w:pPr>
            <w:r w:rsidRPr="00B3694F">
              <w:rPr>
                <w:rFonts w:ascii="Arial" w:hAnsi="Arial" w:cs="Arial"/>
                <w:b/>
                <w:bCs/>
                <w:color w:val="FFFFFF"/>
                <w:sz w:val="16"/>
                <w:szCs w:val="16"/>
                <w:lang w:eastAsia="es-CO"/>
              </w:rPr>
              <w:t>ACCIONES ADELANTADAS</w:t>
            </w:r>
          </w:p>
        </w:tc>
      </w:tr>
      <w:tr w:rsidR="00D21665" w:rsidRPr="00F948EE" w:rsidTr="000445F8">
        <w:trPr>
          <w:trHeight w:val="690"/>
          <w:tblHeader/>
        </w:trPr>
        <w:tc>
          <w:tcPr>
            <w:tcW w:w="188" w:type="pct"/>
            <w:tcBorders>
              <w:top w:val="nil"/>
              <w:left w:val="single" w:sz="4" w:space="0" w:color="auto"/>
              <w:bottom w:val="nil"/>
              <w:right w:val="single" w:sz="4" w:space="0" w:color="auto"/>
            </w:tcBorders>
            <w:shd w:val="clear" w:color="000000" w:fill="002060"/>
            <w:noWrap/>
            <w:vAlign w:val="center"/>
            <w:hideMark/>
          </w:tcPr>
          <w:p w:rsidR="002E0574" w:rsidRPr="00B3694F" w:rsidRDefault="002E0574" w:rsidP="007B005E">
            <w:pPr>
              <w:spacing w:after="0" w:line="240" w:lineRule="auto"/>
              <w:jc w:val="center"/>
              <w:rPr>
                <w:rFonts w:ascii="Arial" w:hAnsi="Arial" w:cs="Arial"/>
                <w:b/>
                <w:bCs/>
                <w:color w:val="FFFFFF"/>
                <w:sz w:val="14"/>
                <w:szCs w:val="14"/>
                <w:lang w:eastAsia="es-CO"/>
              </w:rPr>
            </w:pPr>
            <w:r w:rsidRPr="00B3694F">
              <w:rPr>
                <w:rFonts w:ascii="Arial" w:hAnsi="Arial" w:cs="Arial"/>
                <w:b/>
                <w:bCs/>
                <w:color w:val="FFFFFF"/>
                <w:sz w:val="14"/>
                <w:szCs w:val="14"/>
                <w:lang w:eastAsia="es-CO"/>
              </w:rPr>
              <w:t>COD</w:t>
            </w:r>
          </w:p>
        </w:tc>
        <w:tc>
          <w:tcPr>
            <w:tcW w:w="330" w:type="pct"/>
            <w:tcBorders>
              <w:top w:val="nil"/>
              <w:left w:val="nil"/>
              <w:bottom w:val="nil"/>
              <w:right w:val="single" w:sz="4" w:space="0" w:color="auto"/>
            </w:tcBorders>
            <w:shd w:val="clear" w:color="000000" w:fill="002060"/>
            <w:noWrap/>
            <w:vAlign w:val="center"/>
            <w:hideMark/>
          </w:tcPr>
          <w:p w:rsidR="002E0574" w:rsidRPr="00B3694F" w:rsidRDefault="002E0574" w:rsidP="007B005E">
            <w:pPr>
              <w:spacing w:after="0" w:line="240" w:lineRule="auto"/>
              <w:jc w:val="center"/>
              <w:rPr>
                <w:rFonts w:ascii="Arial" w:hAnsi="Arial" w:cs="Arial"/>
                <w:b/>
                <w:bCs/>
                <w:color w:val="FFFFFF"/>
                <w:sz w:val="14"/>
                <w:szCs w:val="14"/>
                <w:lang w:eastAsia="es-CO"/>
              </w:rPr>
            </w:pPr>
            <w:r w:rsidRPr="00B3694F">
              <w:rPr>
                <w:rFonts w:ascii="Arial" w:hAnsi="Arial" w:cs="Arial"/>
                <w:b/>
                <w:bCs/>
                <w:color w:val="FFFFFF"/>
                <w:sz w:val="14"/>
                <w:szCs w:val="14"/>
                <w:lang w:eastAsia="es-CO"/>
              </w:rPr>
              <w:t>NOMBRE</w:t>
            </w:r>
          </w:p>
        </w:tc>
        <w:tc>
          <w:tcPr>
            <w:tcW w:w="189" w:type="pct"/>
            <w:tcBorders>
              <w:top w:val="nil"/>
              <w:left w:val="nil"/>
              <w:bottom w:val="nil"/>
              <w:right w:val="single" w:sz="4" w:space="0" w:color="auto"/>
            </w:tcBorders>
            <w:shd w:val="clear" w:color="000000" w:fill="002060"/>
            <w:noWrap/>
            <w:vAlign w:val="center"/>
            <w:hideMark/>
          </w:tcPr>
          <w:p w:rsidR="002E0574" w:rsidRPr="00B3694F" w:rsidRDefault="002E0574" w:rsidP="007B005E">
            <w:pPr>
              <w:spacing w:after="0" w:line="240" w:lineRule="auto"/>
              <w:jc w:val="center"/>
              <w:rPr>
                <w:rFonts w:ascii="Arial" w:hAnsi="Arial" w:cs="Arial"/>
                <w:b/>
                <w:bCs/>
                <w:color w:val="FFFFFF"/>
                <w:sz w:val="14"/>
                <w:szCs w:val="14"/>
                <w:lang w:eastAsia="es-CO"/>
              </w:rPr>
            </w:pPr>
            <w:r w:rsidRPr="00B3694F">
              <w:rPr>
                <w:rFonts w:ascii="Arial" w:hAnsi="Arial" w:cs="Arial"/>
                <w:b/>
                <w:bCs/>
                <w:color w:val="FFFFFF"/>
                <w:sz w:val="14"/>
                <w:szCs w:val="14"/>
                <w:lang w:eastAsia="es-CO"/>
              </w:rPr>
              <w:t>COD</w:t>
            </w:r>
          </w:p>
        </w:tc>
        <w:tc>
          <w:tcPr>
            <w:tcW w:w="472" w:type="pct"/>
            <w:tcBorders>
              <w:top w:val="nil"/>
              <w:left w:val="nil"/>
              <w:bottom w:val="nil"/>
              <w:right w:val="single" w:sz="4" w:space="0" w:color="auto"/>
            </w:tcBorders>
            <w:shd w:val="clear" w:color="000000" w:fill="002060"/>
            <w:noWrap/>
            <w:vAlign w:val="center"/>
            <w:hideMark/>
          </w:tcPr>
          <w:p w:rsidR="002E0574" w:rsidRPr="00B3694F" w:rsidRDefault="002E0574" w:rsidP="007B005E">
            <w:pPr>
              <w:spacing w:after="0" w:line="240" w:lineRule="auto"/>
              <w:jc w:val="center"/>
              <w:rPr>
                <w:rFonts w:ascii="Arial" w:hAnsi="Arial" w:cs="Arial"/>
                <w:b/>
                <w:bCs/>
                <w:color w:val="FFFFFF"/>
                <w:sz w:val="14"/>
                <w:szCs w:val="14"/>
                <w:lang w:eastAsia="es-CO"/>
              </w:rPr>
            </w:pPr>
            <w:r w:rsidRPr="00B3694F">
              <w:rPr>
                <w:rFonts w:ascii="Arial" w:hAnsi="Arial" w:cs="Arial"/>
                <w:b/>
                <w:bCs/>
                <w:color w:val="FFFFFF"/>
                <w:sz w:val="14"/>
                <w:szCs w:val="14"/>
                <w:lang w:eastAsia="es-CO"/>
              </w:rPr>
              <w:t>NOMBRE</w:t>
            </w:r>
          </w:p>
        </w:tc>
        <w:tc>
          <w:tcPr>
            <w:tcW w:w="221" w:type="pct"/>
            <w:tcBorders>
              <w:top w:val="nil"/>
              <w:left w:val="single" w:sz="8" w:space="0" w:color="auto"/>
              <w:bottom w:val="nil"/>
              <w:right w:val="single" w:sz="4" w:space="0" w:color="auto"/>
            </w:tcBorders>
            <w:shd w:val="clear" w:color="000000" w:fill="002060"/>
            <w:noWrap/>
            <w:vAlign w:val="center"/>
            <w:hideMark/>
          </w:tcPr>
          <w:p w:rsidR="002E0574" w:rsidRPr="00B3694F" w:rsidRDefault="002E0574" w:rsidP="007B005E">
            <w:pPr>
              <w:spacing w:after="0" w:line="240" w:lineRule="auto"/>
              <w:jc w:val="center"/>
              <w:rPr>
                <w:rFonts w:ascii="Arial" w:hAnsi="Arial" w:cs="Arial"/>
                <w:b/>
                <w:bCs/>
                <w:color w:val="FFFFFF"/>
                <w:sz w:val="14"/>
                <w:szCs w:val="14"/>
                <w:lang w:eastAsia="es-CO"/>
              </w:rPr>
            </w:pPr>
            <w:r w:rsidRPr="00B3694F">
              <w:rPr>
                <w:rFonts w:ascii="Arial" w:hAnsi="Arial" w:cs="Arial"/>
                <w:b/>
                <w:bCs/>
                <w:color w:val="FFFFFF"/>
                <w:sz w:val="14"/>
                <w:szCs w:val="14"/>
                <w:lang w:eastAsia="es-CO"/>
              </w:rPr>
              <w:t>Magn</w:t>
            </w:r>
          </w:p>
        </w:tc>
        <w:tc>
          <w:tcPr>
            <w:tcW w:w="566" w:type="pct"/>
            <w:tcBorders>
              <w:top w:val="nil"/>
              <w:left w:val="nil"/>
              <w:bottom w:val="nil"/>
              <w:right w:val="single" w:sz="8" w:space="0" w:color="auto"/>
            </w:tcBorders>
            <w:shd w:val="clear" w:color="000000" w:fill="002060"/>
            <w:noWrap/>
            <w:vAlign w:val="center"/>
            <w:hideMark/>
          </w:tcPr>
          <w:p w:rsidR="002E0574" w:rsidRPr="00B3694F" w:rsidRDefault="002E0574" w:rsidP="007B005E">
            <w:pPr>
              <w:spacing w:after="0" w:line="240" w:lineRule="auto"/>
              <w:jc w:val="center"/>
              <w:rPr>
                <w:rFonts w:ascii="Arial" w:hAnsi="Arial" w:cs="Arial"/>
                <w:b/>
                <w:bCs/>
                <w:color w:val="FFFFFF"/>
                <w:sz w:val="14"/>
                <w:szCs w:val="14"/>
                <w:lang w:eastAsia="es-CO"/>
              </w:rPr>
            </w:pPr>
            <w:r w:rsidRPr="00B3694F">
              <w:rPr>
                <w:rFonts w:ascii="Arial" w:hAnsi="Arial" w:cs="Arial"/>
                <w:b/>
                <w:bCs/>
                <w:color w:val="FFFFFF"/>
                <w:sz w:val="14"/>
                <w:szCs w:val="14"/>
                <w:lang w:eastAsia="es-CO"/>
              </w:rPr>
              <w:t>Recursos</w:t>
            </w:r>
          </w:p>
        </w:tc>
        <w:tc>
          <w:tcPr>
            <w:tcW w:w="254" w:type="pct"/>
            <w:tcBorders>
              <w:top w:val="nil"/>
              <w:left w:val="single" w:sz="4" w:space="0" w:color="auto"/>
              <w:bottom w:val="nil"/>
              <w:right w:val="single" w:sz="8" w:space="0" w:color="auto"/>
            </w:tcBorders>
            <w:shd w:val="clear" w:color="000000" w:fill="002060"/>
            <w:noWrap/>
            <w:vAlign w:val="center"/>
            <w:hideMark/>
          </w:tcPr>
          <w:p w:rsidR="002E0574" w:rsidRPr="00B3694F" w:rsidRDefault="002E0574" w:rsidP="007B005E">
            <w:pPr>
              <w:spacing w:after="0" w:line="240" w:lineRule="auto"/>
              <w:jc w:val="center"/>
              <w:rPr>
                <w:rFonts w:ascii="Arial" w:hAnsi="Arial" w:cs="Arial"/>
                <w:b/>
                <w:bCs/>
                <w:color w:val="FFFFFF"/>
                <w:sz w:val="14"/>
                <w:szCs w:val="14"/>
                <w:lang w:eastAsia="es-CO"/>
              </w:rPr>
            </w:pPr>
            <w:r w:rsidRPr="00B3694F">
              <w:rPr>
                <w:rFonts w:ascii="Arial" w:hAnsi="Arial" w:cs="Arial"/>
                <w:b/>
                <w:bCs/>
                <w:color w:val="FFFFFF"/>
                <w:sz w:val="14"/>
                <w:szCs w:val="14"/>
                <w:lang w:eastAsia="es-CO"/>
              </w:rPr>
              <w:t>Magn</w:t>
            </w:r>
          </w:p>
        </w:tc>
        <w:tc>
          <w:tcPr>
            <w:tcW w:w="568" w:type="pct"/>
            <w:tcBorders>
              <w:top w:val="nil"/>
              <w:left w:val="single" w:sz="4" w:space="0" w:color="auto"/>
              <w:bottom w:val="nil"/>
              <w:right w:val="single" w:sz="8" w:space="0" w:color="auto"/>
            </w:tcBorders>
            <w:shd w:val="clear" w:color="000000" w:fill="002060"/>
            <w:noWrap/>
            <w:vAlign w:val="center"/>
            <w:hideMark/>
          </w:tcPr>
          <w:p w:rsidR="002E0574" w:rsidRPr="00B3694F" w:rsidRDefault="002E0574" w:rsidP="007B005E">
            <w:pPr>
              <w:spacing w:after="0" w:line="240" w:lineRule="auto"/>
              <w:jc w:val="center"/>
              <w:rPr>
                <w:rFonts w:ascii="Arial" w:hAnsi="Arial" w:cs="Arial"/>
                <w:b/>
                <w:bCs/>
                <w:color w:val="FFFFFF"/>
                <w:sz w:val="14"/>
                <w:szCs w:val="14"/>
                <w:lang w:eastAsia="es-CO"/>
              </w:rPr>
            </w:pPr>
            <w:r w:rsidRPr="00B3694F">
              <w:rPr>
                <w:rFonts w:ascii="Arial" w:hAnsi="Arial" w:cs="Arial"/>
                <w:b/>
                <w:bCs/>
                <w:color w:val="FFFFFF"/>
                <w:sz w:val="14"/>
                <w:szCs w:val="14"/>
                <w:lang w:eastAsia="es-CO"/>
              </w:rPr>
              <w:t>Recursos</w:t>
            </w:r>
          </w:p>
        </w:tc>
        <w:tc>
          <w:tcPr>
            <w:tcW w:w="2213" w:type="pct"/>
            <w:tcBorders>
              <w:top w:val="nil"/>
              <w:left w:val="nil"/>
              <w:bottom w:val="nil"/>
              <w:right w:val="single" w:sz="4" w:space="0" w:color="auto"/>
            </w:tcBorders>
            <w:shd w:val="clear" w:color="000000" w:fill="1F497D"/>
            <w:vAlign w:val="center"/>
            <w:hideMark/>
          </w:tcPr>
          <w:p w:rsidR="002E0574" w:rsidRPr="00B3694F" w:rsidRDefault="002E0574" w:rsidP="007B005E">
            <w:pPr>
              <w:spacing w:after="0" w:line="240" w:lineRule="auto"/>
              <w:rPr>
                <w:rFonts w:ascii="Arial" w:hAnsi="Arial" w:cs="Arial"/>
                <w:b/>
                <w:bCs/>
                <w:color w:val="FFFFFF"/>
                <w:sz w:val="16"/>
                <w:szCs w:val="16"/>
                <w:lang w:eastAsia="es-CO"/>
              </w:rPr>
            </w:pPr>
            <w:r w:rsidRPr="00B3694F">
              <w:rPr>
                <w:rFonts w:ascii="Arial" w:hAnsi="Arial" w:cs="Arial"/>
                <w:b/>
                <w:bCs/>
                <w:color w:val="FFFFFF"/>
                <w:sz w:val="16"/>
                <w:szCs w:val="16"/>
                <w:lang w:eastAsia="es-CO"/>
              </w:rPr>
              <w:t> </w:t>
            </w:r>
          </w:p>
        </w:tc>
      </w:tr>
      <w:tr w:rsidR="00D21665" w:rsidRPr="00F948EE" w:rsidTr="000445F8">
        <w:trPr>
          <w:trHeight w:val="5239"/>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7507</w:t>
            </w:r>
          </w:p>
        </w:tc>
        <w:tc>
          <w:tcPr>
            <w:tcW w:w="330" w:type="pct"/>
            <w:tcBorders>
              <w:top w:val="nil"/>
              <w:left w:val="nil"/>
              <w:bottom w:val="nil"/>
              <w:right w:val="nil"/>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w:t>
            </w:r>
          </w:p>
        </w:tc>
        <w:tc>
          <w:tcPr>
            <w:tcW w:w="472"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Implementar y sostener 1 Centro de Comando y Control para el mejoramiento en la atención de emergencias de la ciudad</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w:t>
            </w:r>
          </w:p>
        </w:tc>
        <w:tc>
          <w:tcPr>
            <w:tcW w:w="566"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color w:val="000000"/>
                <w:sz w:val="16"/>
                <w:szCs w:val="16"/>
                <w:lang w:eastAsia="es-CO"/>
              </w:rPr>
            </w:pPr>
            <w:r w:rsidRPr="00B3694F">
              <w:rPr>
                <w:rFonts w:ascii="Arial" w:hAnsi="Arial" w:cs="Arial"/>
                <w:color w:val="000000"/>
                <w:sz w:val="16"/>
                <w:szCs w:val="16"/>
                <w:lang w:eastAsia="es-CO"/>
              </w:rPr>
              <w:t>48.319.736.117</w:t>
            </w: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 xml:space="preserve">1 </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48.315.749.055,00 </w:t>
            </w:r>
          </w:p>
        </w:tc>
        <w:tc>
          <w:tcPr>
            <w:tcW w:w="2213" w:type="pct"/>
            <w:tcBorders>
              <w:top w:val="single" w:sz="4" w:space="0" w:color="auto"/>
              <w:left w:val="single" w:sz="4" w:space="0" w:color="auto"/>
              <w:bottom w:val="single" w:sz="4" w:space="0" w:color="auto"/>
              <w:right w:val="single" w:sz="4" w:space="0" w:color="auto"/>
            </w:tcBorders>
            <w:shd w:val="clear" w:color="auto" w:fill="auto"/>
            <w:hideMark/>
          </w:tcPr>
          <w:p w:rsidR="002E0574" w:rsidRPr="00B3694F" w:rsidRDefault="002E0574" w:rsidP="007B005E">
            <w:pPr>
              <w:spacing w:after="0" w:line="240" w:lineRule="auto"/>
              <w:rPr>
                <w:rFonts w:ascii="Arial" w:hAnsi="Arial" w:cs="Arial"/>
                <w:sz w:val="16"/>
                <w:szCs w:val="16"/>
                <w:lang w:eastAsia="es-CO"/>
              </w:rPr>
            </w:pPr>
            <w:r w:rsidRPr="00B3694F">
              <w:rPr>
                <w:rFonts w:ascii="Arial" w:hAnsi="Arial" w:cs="Arial"/>
                <w:sz w:val="16"/>
                <w:szCs w:val="16"/>
                <w:lang w:eastAsia="es-CO"/>
              </w:rPr>
              <w:t xml:space="preserve">En concordancia con el Plan de Desarrollo Distrital “Bogotá Mejor para Todos” durante el presente periodo de gobierno distrital, hasta la fecha la Secretaría Distrital de Seguridad, Convivencia y Justicia diseñó e implementó el C4 y su modelo de operación para articular las herramientas tecnológicas, operacionales y humanas dispuestas por el Distrito Capital con el propósito de dar una respuesta coordinada, eficiente y oportuna a los eventos de seguridad y emergencia que ocurren en Bogotá D.C. Así mismo, se buscó generar información centralizada y confiable para la toma de decisiones y aportar conocimiento para la prevención y anticipación de dichos eventos, dando como resultado la puesta en operación de los componentes que hoy hacen realidad el modelo de C4 así: </w:t>
            </w:r>
            <w:r w:rsidRPr="00B3694F">
              <w:rPr>
                <w:rFonts w:ascii="Arial" w:hAnsi="Arial" w:cs="Arial"/>
                <w:sz w:val="16"/>
                <w:szCs w:val="16"/>
                <w:lang w:eastAsia="es-CO"/>
              </w:rPr>
              <w:br/>
              <w:t xml:space="preserve">1. Número Único de Seguridad y Emergencias - NUSE 123:  Además de haber centralizado su operación en el C4 y haber implementado estrategias para incrementar la calidad de los servicios fortaleció la capacitación, tanto de personal de la SUR, como de las entidades de despacho. Así mismo, ha tenido una actualización y modernización tecnológica sin precedentes que aporta a articular las entidades y prestar un servicio con mayor calidad y oportunidad mediante los siguientes avances: </w:t>
            </w:r>
            <w:r w:rsidRPr="00B3694F">
              <w:rPr>
                <w:rFonts w:ascii="Arial" w:hAnsi="Arial" w:cs="Arial"/>
                <w:sz w:val="16"/>
                <w:szCs w:val="16"/>
                <w:lang w:eastAsia="es-CO"/>
              </w:rPr>
              <w:br/>
              <w:t xml:space="preserve">a) Actualización tecnológica de los subsistemas (TIC, Grabación, estaciones de trabajo, software GIS y software planta telefónica) de la plataforma del NUSE 123, los cuales ya eran obsoletos luego de más de 10 años de operación, consiguiendo de esta manera un incremento en su disponibilidad y desempeño, mitigando la probabilidad de fallos que provoquen indisponibilidad del NUSE123.  b) Implementación y puesta en operación de la geolocalización de las llamadas entrantes para ubicar su origen y localización. De esta manera se logra aportar a salvar vidas y hacer más eficiente la respuesta del sistema de seguridad y emergencias.  c) Articulación con otras entidades: A través enlaces con presencia en el C4 como Fiscalía General de la Nación, Ejército Nacional, Instituto Distrital de Protección y Bienestar Animal - IDPYBA y el Instituto Distrital para la Recreación y el Deporte - IDRD, se logra la entrega y recolección de elementos probatorios provenientes del sistema de forma más eficiente y oportuna, dando respuesta más efectiva y aportando a la prevención de eventos de seguridad y emergencias.  d) Integración de otros componentes del C4. Se integran el sistema de radio, videovigilancia y sistemas de información de algunas entidades con la nueva plataforma de Despacho Asistido por Computadora (CAD) en proceso de implementación, para contribuir a la eficiencia y oportunidad de la atención a incidentes de seguridad y emergencias.  e) Implementación de servicios adicionales. Georreferenciación de los recursos (policías, ambulancias, cámaras, entre otros) para que, unido con la geolocalización de las llamadas, se puedan identificar </w:t>
            </w:r>
            <w:r w:rsidRPr="00B3694F">
              <w:rPr>
                <w:rFonts w:ascii="Arial" w:hAnsi="Arial" w:cs="Arial"/>
                <w:sz w:val="16"/>
                <w:szCs w:val="16"/>
                <w:lang w:eastAsia="es-CO"/>
              </w:rPr>
              <w:lastRenderedPageBreak/>
              <w:t>los recursos más cercanos al incidente y dar una respuesta más eficiente.  f) Diseño e implementación de nuevo modelo de operación interagencias.  Este modelo permite un mejor aprovechamiento de las capacidades de la nueva plataforma CAD del NUSE 123 para responder con mayor eficiencia y contar con información estructurada y centralizada de los incidentes, entregando información valiosa para la mejora continua de la operación de cada entidad y aportar conocimiento a la prevención mediante la utilización de analítica.  g) Capacitación de los operadores: para mitigar las deficiencias identificadas sobre todo en los operadores, buscar mejorar la calidad del servicio y la documentación de los incidentes, se realizó: • Certificación en coordinación con bomberos de todos los operadores de recepción y staff, en el curso “Sistema Comando de Incidentes “avalado por USAID. • Coordinación con el SENA para superar las falencias identificadas en el trámite de incidentes y las solicitudes realizadas por las entidades del sistema con respecto a la información registrada en los incidentes creados. El aporte del SENA estuvo orientado por docentes permanentes para realizar los cursos relacionados con redacción, ortografía y demás. • Capacitaciones para mejorar las capacidades blandas de los operadores, a través del área de Gestión Humana de la SDSCJ.  • Reentrenamientos específicos de acuerdos con la debilidades o fallas identificadas en los</w:t>
            </w:r>
            <w:r>
              <w:rPr>
                <w:rFonts w:ascii="Arial" w:hAnsi="Arial" w:cs="Arial"/>
                <w:sz w:val="16"/>
                <w:szCs w:val="16"/>
                <w:lang w:eastAsia="es-CO"/>
              </w:rPr>
              <w:t xml:space="preserve"> monitoreos continuos que se </w:t>
            </w:r>
            <w:r w:rsidRPr="00B3694F">
              <w:rPr>
                <w:rFonts w:ascii="Arial" w:hAnsi="Arial" w:cs="Arial"/>
                <w:sz w:val="16"/>
                <w:szCs w:val="16"/>
                <w:lang w:eastAsia="es-CO"/>
              </w:rPr>
              <w:t xml:space="preserve">realizan a los operadores para la mejora continua de la calidad del servicio. </w:t>
            </w:r>
            <w:r w:rsidRPr="00B3694F">
              <w:rPr>
                <w:rFonts w:ascii="Arial" w:hAnsi="Arial" w:cs="Arial"/>
                <w:sz w:val="16"/>
                <w:szCs w:val="16"/>
                <w:lang w:eastAsia="es-CO"/>
              </w:rPr>
              <w:br/>
              <w:t>2. Fortalecimiento del Sistema de Videovigilancia. El nuevo sistema, además de incrementar el número de cámaras, aumenta la capacidad de visualización, define procedimientos para fortalecer la efectividad del sistema e inicia el proceso hacia la anticipación de eventos a través de la analítica. A continuación, se exponen las nuevas características del Sistema de Videovigilancia actualizado: a) Incremento de puntos de vigilancia en la ciudad pasando de 378 (en funcionamiento menos de 300 cámaras) a principios de 2016, a 4.928 cámaras instaladas a diciembre de 2019 y visualizas en el C4. b) Integración con otros sistemas de videovigilancia, como: Transmilenio, Colegios, Corporación Autónoma Regional – CAR y cámaras de CCTV de privados (Centros comerciales y de Comercio de la ciudad), entre otros, para extender y fortalecer el sistema para que este genere cada día mayor valor a la seguridad de la ciudad.   c) Implementación de un nuevo modelo de operación para el Sistema de Videovigilancia para definir estrategias, generar planes de trabajo, hacer seguimiento y evaluar los resultados para incrementar la efectividad.</w:t>
            </w:r>
          </w:p>
        </w:tc>
      </w:tr>
      <w:tr w:rsidR="00D21665" w:rsidRPr="00F948EE" w:rsidTr="000445F8">
        <w:trPr>
          <w:trHeight w:val="1545"/>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lastRenderedPageBreak/>
              <w:t>7507</w:t>
            </w:r>
          </w:p>
        </w:tc>
        <w:tc>
          <w:tcPr>
            <w:tcW w:w="330" w:type="pct"/>
            <w:tcBorders>
              <w:top w:val="nil"/>
              <w:left w:val="nil"/>
              <w:bottom w:val="nil"/>
              <w:right w:val="nil"/>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2</w:t>
            </w:r>
          </w:p>
        </w:tc>
        <w:tc>
          <w:tcPr>
            <w:tcW w:w="472"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Garantizar  100 por ciento la transmisión, operación y mantenimiento de los equipo del sistema integral de video vigilancia de los organismos de seguridad y defensa de la ciudad</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100%</w:t>
            </w:r>
          </w:p>
        </w:tc>
        <w:tc>
          <w:tcPr>
            <w:tcW w:w="566"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color w:val="000000"/>
                <w:sz w:val="16"/>
                <w:szCs w:val="16"/>
                <w:lang w:eastAsia="es-CO"/>
              </w:rPr>
            </w:pPr>
            <w:r w:rsidRPr="00B3694F">
              <w:rPr>
                <w:rFonts w:ascii="Arial" w:hAnsi="Arial" w:cs="Arial"/>
                <w:color w:val="000000"/>
                <w:sz w:val="16"/>
                <w:szCs w:val="16"/>
                <w:lang w:eastAsia="es-CO"/>
              </w:rPr>
              <w:t>41.080.419.879</w:t>
            </w: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100%</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color w:val="000000"/>
                <w:sz w:val="16"/>
                <w:szCs w:val="16"/>
                <w:lang w:eastAsia="es-CO"/>
              </w:rPr>
            </w:pPr>
            <w:r w:rsidRPr="00B3694F">
              <w:rPr>
                <w:rFonts w:ascii="Arial" w:hAnsi="Arial" w:cs="Arial"/>
                <w:color w:val="000000"/>
                <w:sz w:val="16"/>
                <w:szCs w:val="16"/>
                <w:lang w:eastAsia="es-CO"/>
              </w:rPr>
              <w:t>40.601.650.297</w:t>
            </w:r>
          </w:p>
        </w:tc>
        <w:tc>
          <w:tcPr>
            <w:tcW w:w="2213" w:type="pct"/>
            <w:tcBorders>
              <w:top w:val="single" w:sz="4" w:space="0" w:color="auto"/>
              <w:left w:val="single" w:sz="4" w:space="0" w:color="auto"/>
              <w:bottom w:val="single" w:sz="4" w:space="0" w:color="auto"/>
              <w:right w:val="single" w:sz="4" w:space="0" w:color="auto"/>
            </w:tcBorders>
            <w:shd w:val="clear" w:color="auto" w:fill="auto"/>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Durante la vigencia del 2019, la Secretaría Distrital de Seguridad, Convivencia y Justicia realizó las actividades de mantenimiento de las cámaras de video vigilancia que están distribuidas en las 19 localidades de la ciudad, a través del contrato 780 de 2019. Estas actividades han permitido garantizar la visualización de las cámaras por parte de la MEBOG, desde los centros de monitoreo dispuestos en las Estaciones de Policía y C4.</w:t>
            </w:r>
            <w:r w:rsidRPr="00B3694F">
              <w:rPr>
                <w:rFonts w:ascii="Arial" w:hAnsi="Arial" w:cs="Arial"/>
                <w:sz w:val="16"/>
                <w:szCs w:val="16"/>
                <w:lang w:eastAsia="es-CO"/>
              </w:rPr>
              <w:br/>
              <w:t>A la fecha de elaboración del presente informe, el 96,80% de las cámaras están operando normalmente; el 3,20% de puntos no operativos están siendo atendidos principalmente por el contratista de mantenimiento (2,04%), por CODENSA S.A E.S.P. (0,14%), por ETB (0,18%) y los restantes por parte de terceros como Transmilenio, Secretaría de Educación, IDU e ICBF y en trámite de garantías de equipos (0,83%), para la solución de los inconvenientes.</w:t>
            </w:r>
            <w:r w:rsidRPr="00B3694F">
              <w:rPr>
                <w:rFonts w:ascii="Arial" w:hAnsi="Arial" w:cs="Arial"/>
                <w:sz w:val="16"/>
                <w:szCs w:val="16"/>
                <w:lang w:eastAsia="es-CO"/>
              </w:rPr>
              <w:br/>
              <w:t>Este contrato de mantenimiento, además, permite la atención de incidencias que se presentan en los CCTV instalados en los Centros de Atención Inmediata - CAI y en las Estaciones de Policía de la MEBOG.</w:t>
            </w:r>
          </w:p>
        </w:tc>
      </w:tr>
      <w:tr w:rsidR="00D21665" w:rsidRPr="00F948EE" w:rsidTr="000445F8">
        <w:trPr>
          <w:trHeight w:val="1245"/>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7507</w:t>
            </w:r>
          </w:p>
        </w:tc>
        <w:tc>
          <w:tcPr>
            <w:tcW w:w="330" w:type="pct"/>
            <w:tcBorders>
              <w:top w:val="nil"/>
              <w:left w:val="nil"/>
              <w:bottom w:val="nil"/>
              <w:right w:val="nil"/>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p>
        </w:tc>
        <w:tc>
          <w:tcPr>
            <w:tcW w:w="189"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3</w:t>
            </w:r>
          </w:p>
        </w:tc>
        <w:tc>
          <w:tcPr>
            <w:tcW w:w="472"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Incrementar la capacidad de video vigilancia de la ciudad a 4.151 cámaras instaladas y en funcionamiento</w:t>
            </w:r>
          </w:p>
        </w:tc>
        <w:tc>
          <w:tcPr>
            <w:tcW w:w="221" w:type="pct"/>
            <w:tcBorders>
              <w:top w:val="nil"/>
              <w:left w:val="single" w:sz="4" w:space="0" w:color="auto"/>
              <w:bottom w:val="single" w:sz="4" w:space="0" w:color="auto"/>
              <w:right w:val="single" w:sz="4" w:space="0" w:color="auto"/>
            </w:tcBorders>
            <w:shd w:val="clear" w:color="000000" w:fill="FFFFFF"/>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1956</w:t>
            </w:r>
          </w:p>
        </w:tc>
        <w:tc>
          <w:tcPr>
            <w:tcW w:w="566"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0 </w:t>
            </w:r>
          </w:p>
        </w:tc>
        <w:tc>
          <w:tcPr>
            <w:tcW w:w="254" w:type="pct"/>
            <w:tcBorders>
              <w:top w:val="nil"/>
              <w:left w:val="nil"/>
              <w:bottom w:val="single" w:sz="4" w:space="0" w:color="auto"/>
              <w:right w:val="single" w:sz="4" w:space="0" w:color="auto"/>
            </w:tcBorders>
            <w:shd w:val="clear" w:color="000000" w:fill="FFFFFF"/>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1956</w:t>
            </w:r>
          </w:p>
        </w:tc>
        <w:tc>
          <w:tcPr>
            <w:tcW w:w="568"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0 </w:t>
            </w:r>
          </w:p>
        </w:tc>
        <w:tc>
          <w:tcPr>
            <w:tcW w:w="2213" w:type="pct"/>
            <w:tcBorders>
              <w:top w:val="nil"/>
              <w:left w:val="single" w:sz="4" w:space="0" w:color="auto"/>
              <w:bottom w:val="single" w:sz="4" w:space="0" w:color="auto"/>
              <w:right w:val="single" w:sz="4" w:space="0" w:color="auto"/>
            </w:tcBorders>
            <w:shd w:val="clear" w:color="auto" w:fill="auto"/>
            <w:hideMark/>
          </w:tcPr>
          <w:p w:rsidR="002E0574" w:rsidRPr="00B3694F" w:rsidRDefault="002E0574" w:rsidP="007B005E">
            <w:pPr>
              <w:spacing w:after="0" w:line="240" w:lineRule="auto"/>
              <w:rPr>
                <w:rFonts w:ascii="Arial" w:hAnsi="Arial" w:cs="Arial"/>
                <w:sz w:val="16"/>
                <w:szCs w:val="16"/>
                <w:lang w:eastAsia="es-CO"/>
              </w:rPr>
            </w:pPr>
            <w:r w:rsidRPr="00B3694F">
              <w:rPr>
                <w:rFonts w:ascii="Arial" w:hAnsi="Arial" w:cs="Arial"/>
                <w:sz w:val="16"/>
                <w:szCs w:val="16"/>
                <w:lang w:eastAsia="es-CO"/>
              </w:rPr>
              <w:t>El Sistema Distrital de Video Vigilancia a cargo de la SDSCJ, se compone de los 5012 puntos de video vigilancia, 4841 están visualizadas por la MEBOG desde los centros de monitoreo y desde el C4; la diferencia entre el número de cámaras instaladas y el número de cámaras visualizadas obedece a que existen puntos de video vigilancia con visualización local en el Estadio El Campín (58), en el Centro de Traslado por Protección (104) y en el Parque Simón Bolívar</w:t>
            </w:r>
            <w:r>
              <w:rPr>
                <w:rFonts w:ascii="Arial" w:hAnsi="Arial" w:cs="Arial"/>
                <w:sz w:val="16"/>
                <w:szCs w:val="16"/>
                <w:lang w:eastAsia="es-CO"/>
              </w:rPr>
              <w:t xml:space="preserve"> </w:t>
            </w:r>
            <w:r w:rsidRPr="00B3694F">
              <w:rPr>
                <w:rFonts w:ascii="Arial" w:hAnsi="Arial" w:cs="Arial"/>
                <w:sz w:val="16"/>
                <w:szCs w:val="16"/>
                <w:lang w:eastAsia="es-CO"/>
              </w:rPr>
              <w:t>(9).</w:t>
            </w:r>
            <w:r>
              <w:rPr>
                <w:rFonts w:ascii="Arial" w:hAnsi="Arial" w:cs="Arial"/>
                <w:sz w:val="16"/>
                <w:szCs w:val="16"/>
                <w:lang w:eastAsia="es-CO"/>
              </w:rPr>
              <w:t xml:space="preserve">      </w:t>
            </w:r>
            <w:r w:rsidRPr="00B3694F">
              <w:rPr>
                <w:rFonts w:ascii="Arial" w:hAnsi="Arial" w:cs="Arial"/>
                <w:sz w:val="16"/>
                <w:szCs w:val="16"/>
                <w:lang w:eastAsia="es-CO"/>
              </w:rPr>
              <w:t xml:space="preserve"> </w:t>
            </w:r>
            <w:r w:rsidRPr="00B3694F">
              <w:rPr>
                <w:rFonts w:ascii="Arial" w:hAnsi="Arial" w:cs="Arial"/>
                <w:sz w:val="16"/>
                <w:szCs w:val="16"/>
                <w:lang w:eastAsia="es-CO"/>
              </w:rPr>
              <w:br/>
              <w:t>Por otra parte, se han interconectado las cámaras perimetrales de 60 de centros comerciales y 28 cámaras de la CAR que monitorean las zonas aledañas al río Bogotá. Estas 82 cámaras interconectadas al sistema no se contemplan dentro de las cámaras a cargo de la SDSCJ, por cuanto el mantenimiento y disponibilidad de las mismas dependen exclusivamente de su propietario (Centro Comercial o CAR), aunque el enlace de datos hacia el C4 sea provisto por la SDSCJ.</w:t>
            </w:r>
          </w:p>
        </w:tc>
      </w:tr>
      <w:tr w:rsidR="00D21665" w:rsidRPr="00F948EE" w:rsidTr="000445F8">
        <w:trPr>
          <w:trHeight w:val="975"/>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7507</w:t>
            </w:r>
          </w:p>
        </w:tc>
        <w:tc>
          <w:tcPr>
            <w:tcW w:w="330" w:type="pct"/>
            <w:tcBorders>
              <w:top w:val="nil"/>
              <w:left w:val="nil"/>
              <w:bottom w:val="nil"/>
              <w:right w:val="nil"/>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4</w:t>
            </w:r>
          </w:p>
        </w:tc>
        <w:tc>
          <w:tcPr>
            <w:tcW w:w="472"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Construir y/o reponer 16 CAI en la ciudad de Bogotá</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8</w:t>
            </w:r>
          </w:p>
        </w:tc>
        <w:tc>
          <w:tcPr>
            <w:tcW w:w="566"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1.496.772.705 </w:t>
            </w: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 xml:space="preserve">0 </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1.496.772.705 </w:t>
            </w:r>
          </w:p>
        </w:tc>
        <w:tc>
          <w:tcPr>
            <w:tcW w:w="2213" w:type="pct"/>
            <w:tcBorders>
              <w:top w:val="single" w:sz="4" w:space="0" w:color="auto"/>
              <w:left w:val="single" w:sz="4" w:space="0" w:color="auto"/>
              <w:bottom w:val="single" w:sz="4" w:space="0" w:color="auto"/>
              <w:right w:val="single" w:sz="4" w:space="0" w:color="auto"/>
            </w:tcBorders>
            <w:shd w:val="clear" w:color="auto" w:fill="auto"/>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En ejecución el contrato 1131 de 2019 por medio del cu</w:t>
            </w:r>
            <w:r>
              <w:rPr>
                <w:rFonts w:ascii="Arial" w:hAnsi="Arial" w:cs="Arial"/>
                <w:sz w:val="16"/>
                <w:szCs w:val="16"/>
                <w:lang w:eastAsia="es-CO"/>
              </w:rPr>
              <w:t>al</w:t>
            </w:r>
            <w:r w:rsidRPr="00B3694F">
              <w:rPr>
                <w:rFonts w:ascii="Arial" w:hAnsi="Arial" w:cs="Arial"/>
                <w:sz w:val="16"/>
                <w:szCs w:val="16"/>
                <w:lang w:eastAsia="es-CO"/>
              </w:rPr>
              <w:t xml:space="preserve"> se construyen 3 CAI ( Guaymaral, Santa Librada, Telecom) para completar 11 CAI nuevos.</w:t>
            </w:r>
          </w:p>
        </w:tc>
      </w:tr>
      <w:tr w:rsidR="00D21665" w:rsidRPr="00F948EE" w:rsidTr="000445F8">
        <w:trPr>
          <w:trHeight w:val="1035"/>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lastRenderedPageBreak/>
              <w:t>7507</w:t>
            </w:r>
          </w:p>
        </w:tc>
        <w:tc>
          <w:tcPr>
            <w:tcW w:w="330" w:type="pct"/>
            <w:tcBorders>
              <w:top w:val="nil"/>
              <w:left w:val="nil"/>
              <w:bottom w:val="nil"/>
              <w:right w:val="nil"/>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p>
        </w:tc>
        <w:tc>
          <w:tcPr>
            <w:tcW w:w="189"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26</w:t>
            </w:r>
          </w:p>
        </w:tc>
        <w:tc>
          <w:tcPr>
            <w:tcW w:w="472"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Garantizar el 100% la dotación de mobiliario para los equipamientos de seguridad y defensa</w:t>
            </w:r>
          </w:p>
        </w:tc>
        <w:tc>
          <w:tcPr>
            <w:tcW w:w="221" w:type="pct"/>
            <w:tcBorders>
              <w:top w:val="nil"/>
              <w:left w:val="single" w:sz="4" w:space="0" w:color="auto"/>
              <w:bottom w:val="single" w:sz="4" w:space="0" w:color="auto"/>
              <w:right w:val="single" w:sz="4" w:space="0" w:color="auto"/>
            </w:tcBorders>
            <w:shd w:val="clear" w:color="auto" w:fill="auto"/>
            <w:noWrap/>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0</w:t>
            </w:r>
          </w:p>
        </w:tc>
        <w:tc>
          <w:tcPr>
            <w:tcW w:w="566"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62.408.611 </w:t>
            </w:r>
          </w:p>
        </w:tc>
        <w:tc>
          <w:tcPr>
            <w:tcW w:w="254"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 </w:t>
            </w:r>
          </w:p>
        </w:tc>
        <w:tc>
          <w:tcPr>
            <w:tcW w:w="568"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4.625.523 </w:t>
            </w:r>
          </w:p>
        </w:tc>
        <w:tc>
          <w:tcPr>
            <w:tcW w:w="2213" w:type="pct"/>
            <w:tcBorders>
              <w:top w:val="nil"/>
              <w:left w:val="single" w:sz="4" w:space="0" w:color="auto"/>
              <w:bottom w:val="single" w:sz="4" w:space="0" w:color="auto"/>
              <w:right w:val="single" w:sz="4" w:space="0" w:color="auto"/>
            </w:tcBorders>
            <w:shd w:val="clear" w:color="auto" w:fill="auto"/>
            <w:hideMark/>
          </w:tcPr>
          <w:p w:rsidR="002E0574" w:rsidRPr="00B3694F" w:rsidRDefault="002E0574" w:rsidP="007B005E">
            <w:pPr>
              <w:spacing w:after="0" w:line="240" w:lineRule="auto"/>
              <w:rPr>
                <w:rFonts w:ascii="Arial" w:hAnsi="Arial" w:cs="Arial"/>
                <w:sz w:val="16"/>
                <w:szCs w:val="16"/>
                <w:lang w:eastAsia="es-CO"/>
              </w:rPr>
            </w:pPr>
            <w:r w:rsidRPr="00B3694F">
              <w:rPr>
                <w:rFonts w:ascii="Arial" w:hAnsi="Arial" w:cs="Arial"/>
                <w:sz w:val="16"/>
                <w:szCs w:val="16"/>
                <w:lang w:eastAsia="es-CO"/>
              </w:rPr>
              <w:t>Durante la vigencia del 2019, la Secretaría Distrital de Seguridad, Convivencia y Justicia a través del contrato 1104 del 2019, adquirió 2,435 muebles clasificados en 1586 sillas, 500 catre metálicos, 30 mesas plegables,46 escritorios con cajonera metálica, 3 salas de juntas y folderama plegable. En donde es importante aclarar que este mobiliario se recibirá durante el primer trimestre de la vigencia 2020</w:t>
            </w:r>
          </w:p>
        </w:tc>
      </w:tr>
      <w:tr w:rsidR="00D21665" w:rsidRPr="00F948EE" w:rsidTr="000445F8">
        <w:trPr>
          <w:trHeight w:val="6795"/>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816307" w:rsidP="007B005E">
            <w:pPr>
              <w:spacing w:after="0" w:line="240" w:lineRule="auto"/>
              <w:jc w:val="center"/>
              <w:rPr>
                <w:rFonts w:ascii="Arial" w:hAnsi="Arial" w:cs="Arial"/>
                <w:color w:val="000000"/>
                <w:sz w:val="16"/>
                <w:szCs w:val="16"/>
                <w:lang w:eastAsia="es-CO"/>
              </w:rPr>
            </w:pPr>
            <w:r>
              <w:rPr>
                <w:rFonts w:ascii="Arial" w:hAnsi="Arial" w:cs="Arial"/>
                <w:color w:val="000000"/>
                <w:sz w:val="16"/>
                <w:szCs w:val="16"/>
                <w:lang w:eastAsia="es-CO"/>
              </w:rPr>
              <w:lastRenderedPageBreak/>
              <w:t>7</w:t>
            </w:r>
            <w:r w:rsidR="002E0574" w:rsidRPr="00B3694F">
              <w:rPr>
                <w:rFonts w:ascii="Arial" w:hAnsi="Arial" w:cs="Arial"/>
                <w:color w:val="000000"/>
                <w:sz w:val="16"/>
                <w:szCs w:val="16"/>
                <w:lang w:eastAsia="es-CO"/>
              </w:rPr>
              <w:t>507</w:t>
            </w:r>
          </w:p>
        </w:tc>
        <w:tc>
          <w:tcPr>
            <w:tcW w:w="330" w:type="pct"/>
            <w:tcBorders>
              <w:top w:val="nil"/>
              <w:left w:val="nil"/>
              <w:bottom w:val="nil"/>
              <w:right w:val="nil"/>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p>
        </w:tc>
        <w:tc>
          <w:tcPr>
            <w:tcW w:w="189"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19</w:t>
            </w:r>
          </w:p>
        </w:tc>
        <w:tc>
          <w:tcPr>
            <w:tcW w:w="472"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Construir, adecuar, reforzar y/o ampliar 3 equipamientos de seguridad, defensa y justicia</w:t>
            </w:r>
          </w:p>
        </w:tc>
        <w:tc>
          <w:tcPr>
            <w:tcW w:w="221"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0,95</w:t>
            </w:r>
          </w:p>
        </w:tc>
        <w:tc>
          <w:tcPr>
            <w:tcW w:w="566"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color w:val="000000"/>
                <w:sz w:val="16"/>
                <w:szCs w:val="16"/>
                <w:lang w:eastAsia="es-CO"/>
              </w:rPr>
            </w:pPr>
            <w:r w:rsidRPr="00B3694F">
              <w:rPr>
                <w:rFonts w:ascii="Arial" w:hAnsi="Arial" w:cs="Arial"/>
                <w:color w:val="000000"/>
                <w:sz w:val="16"/>
                <w:szCs w:val="16"/>
                <w:lang w:eastAsia="es-CO"/>
              </w:rPr>
              <w:t>50.751.164.080</w:t>
            </w:r>
          </w:p>
        </w:tc>
        <w:tc>
          <w:tcPr>
            <w:tcW w:w="254"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 xml:space="preserve">0,50 </w:t>
            </w:r>
          </w:p>
        </w:tc>
        <w:tc>
          <w:tcPr>
            <w:tcW w:w="568"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50.751.164.080,00 </w:t>
            </w:r>
          </w:p>
        </w:tc>
        <w:tc>
          <w:tcPr>
            <w:tcW w:w="2213" w:type="pct"/>
            <w:tcBorders>
              <w:top w:val="nil"/>
              <w:left w:val="single" w:sz="4" w:space="0" w:color="auto"/>
              <w:bottom w:val="single" w:sz="4" w:space="0" w:color="auto"/>
              <w:right w:val="single" w:sz="4" w:space="0" w:color="auto"/>
            </w:tcBorders>
            <w:shd w:val="clear" w:color="auto" w:fill="auto"/>
            <w:hideMark/>
          </w:tcPr>
          <w:p w:rsidR="002E0574" w:rsidRPr="00B3694F" w:rsidRDefault="002E0574" w:rsidP="003F6662">
            <w:pPr>
              <w:spacing w:after="0" w:line="240" w:lineRule="auto"/>
              <w:rPr>
                <w:rFonts w:ascii="Arial" w:hAnsi="Arial" w:cs="Arial"/>
                <w:sz w:val="16"/>
                <w:szCs w:val="16"/>
                <w:lang w:eastAsia="es-CO"/>
              </w:rPr>
            </w:pPr>
            <w:r w:rsidRPr="00B3694F">
              <w:rPr>
                <w:rFonts w:ascii="Arial" w:hAnsi="Arial" w:cs="Arial"/>
                <w:sz w:val="16"/>
                <w:szCs w:val="16"/>
                <w:lang w:eastAsia="es-CO"/>
              </w:rPr>
              <w:t>Dando continuidad a las labores iniciadas el pasado 28 de diciembre de 2018, fecha de inicio de las actividades de construcción del contrato No. 1132 de 2018 suscrito con el Consorcio de Seguridad Urbana Distrito Capital, cuyo objeto es la “Construcción y reforzamiento de la nueva sede del Comando de la Policía Metropolitana de Bogotá”, se atiende la ejecución de la meta de la actual administración para la construcción de la nueva sede del Comando MEBOG, en particular durante la vigencia de 2019, adelantando las siguie</w:t>
            </w:r>
            <w:r w:rsidR="00147456">
              <w:rPr>
                <w:rFonts w:ascii="Arial" w:hAnsi="Arial" w:cs="Arial"/>
                <w:sz w:val="16"/>
                <w:szCs w:val="16"/>
                <w:lang w:eastAsia="es-CO"/>
              </w:rPr>
              <w:t>ntes acciones:</w:t>
            </w:r>
            <w:r w:rsidR="003F6662">
              <w:rPr>
                <w:rFonts w:ascii="Arial" w:hAnsi="Arial" w:cs="Arial"/>
                <w:sz w:val="16"/>
                <w:szCs w:val="16"/>
                <w:lang w:eastAsia="es-CO"/>
              </w:rPr>
              <w:t xml:space="preserve">  </w:t>
            </w:r>
            <w:r w:rsidRPr="00B3694F">
              <w:rPr>
                <w:rFonts w:ascii="Arial" w:hAnsi="Arial" w:cs="Arial"/>
                <w:sz w:val="16"/>
                <w:szCs w:val="16"/>
                <w:lang w:eastAsia="es-CO"/>
              </w:rPr>
              <w:t>En desarrollo de las obligaciones de la Universidad Nacional de Colombia, en el marco del Contrato Interadministrativo No. 823 de 2017 cuyo objeto fue: “Adelantar estudios de vulnerabilidad estructural, realizar diseños de reforzamiento, ajustes a diseños arquitectónicos, técnicos y demás requeridos para la puesta en funcionamiento de la nueva sede del comando de la Policía Metropolitana de Bogotá – MEBOG, ubicada en la Carrera 56 No 22-96 (actual), KR 55 No 22-93 (anterior)”, continúa la labor de verificación, aclaración y ajuste de los diseños y estudios técnicos entregados por la Universidad Nacional, para lo cual se han adelantado reuniones y mesas de trabajo en las oficinas del consultor o en las instalaciones de la obra, con la participación de la interventoría, el contratista de obra y el supervisor de la Entidad</w:t>
            </w:r>
            <w:r>
              <w:rPr>
                <w:rFonts w:ascii="Arial" w:hAnsi="Arial" w:cs="Arial"/>
                <w:sz w:val="16"/>
                <w:szCs w:val="16"/>
                <w:lang w:eastAsia="es-CO"/>
              </w:rPr>
              <w:t xml:space="preserve">  </w:t>
            </w:r>
            <w:r w:rsidRPr="00B3694F">
              <w:rPr>
                <w:rFonts w:ascii="Arial" w:hAnsi="Arial" w:cs="Arial"/>
                <w:sz w:val="16"/>
                <w:szCs w:val="16"/>
                <w:lang w:eastAsia="es-CO"/>
              </w:rPr>
              <w:br/>
              <w:t>Avance físico 42%</w:t>
            </w:r>
            <w:r w:rsidR="0021597C">
              <w:rPr>
                <w:rFonts w:ascii="Arial" w:hAnsi="Arial" w:cs="Arial"/>
                <w:sz w:val="16"/>
                <w:szCs w:val="16"/>
                <w:lang w:eastAsia="es-CO"/>
              </w:rPr>
              <w:t xml:space="preserve">.  </w:t>
            </w:r>
            <w:r w:rsidRPr="00B3694F">
              <w:rPr>
                <w:rFonts w:ascii="Arial" w:hAnsi="Arial" w:cs="Arial"/>
                <w:sz w:val="16"/>
                <w:szCs w:val="16"/>
                <w:lang w:eastAsia="es-CO"/>
              </w:rPr>
              <w:t xml:space="preserve">El avance físico que se tiene de la obra de construcción de la MEBOG, con corte a 31 de diciembre del 2019, es de 42%. Aclarando que este avance de la obra lo establece la interventoría en el informe semanal y en el comité de obra semanal, basado en la programación de obra, teniendo en cuenta las actividades contratadas ejecutadas más obras no </w:t>
            </w:r>
            <w:r>
              <w:rPr>
                <w:rFonts w:ascii="Arial" w:hAnsi="Arial" w:cs="Arial"/>
                <w:sz w:val="16"/>
                <w:szCs w:val="16"/>
                <w:lang w:eastAsia="es-CO"/>
              </w:rPr>
              <w:t>previstas pactadas ejecutadas.</w:t>
            </w:r>
            <w:r w:rsidR="0021597C">
              <w:rPr>
                <w:rFonts w:ascii="Arial" w:hAnsi="Arial" w:cs="Arial"/>
                <w:sz w:val="16"/>
                <w:szCs w:val="16"/>
                <w:lang w:eastAsia="es-CO"/>
              </w:rPr>
              <w:t xml:space="preserve">  </w:t>
            </w:r>
            <w:r w:rsidRPr="00B3694F">
              <w:rPr>
                <w:rFonts w:ascii="Arial" w:hAnsi="Arial" w:cs="Arial"/>
                <w:sz w:val="16"/>
                <w:szCs w:val="16"/>
                <w:lang w:eastAsia="es-CO"/>
              </w:rPr>
              <w:t>Durante la vigencia del año 2019 se han adelantado las actividades de obra de acuerdo con el cronograma de trabajo vigente, relativas de ac</w:t>
            </w:r>
            <w:r>
              <w:rPr>
                <w:rFonts w:ascii="Arial" w:hAnsi="Arial" w:cs="Arial"/>
                <w:sz w:val="16"/>
                <w:szCs w:val="16"/>
                <w:lang w:eastAsia="es-CO"/>
              </w:rPr>
              <w:t>uerdo con cada frente de obra:</w:t>
            </w:r>
            <w:r>
              <w:rPr>
                <w:rFonts w:ascii="Arial" w:hAnsi="Arial" w:cs="Arial"/>
                <w:sz w:val="16"/>
                <w:szCs w:val="16"/>
                <w:lang w:eastAsia="es-CO"/>
              </w:rPr>
              <w:br/>
            </w:r>
            <w:r w:rsidRPr="00B3694F">
              <w:rPr>
                <w:rFonts w:ascii="Arial" w:hAnsi="Arial" w:cs="Arial"/>
                <w:sz w:val="16"/>
                <w:szCs w:val="16"/>
                <w:lang w:eastAsia="es-CO"/>
              </w:rPr>
              <w:t xml:space="preserve">FRENTE 1 Y 2 BLOQUE A – AUDITORIO -EJES 12-20 </w:t>
            </w:r>
            <w:r w:rsidRPr="00B3694F">
              <w:rPr>
                <w:rFonts w:ascii="Arial" w:hAnsi="Arial" w:cs="Arial"/>
                <w:sz w:val="16"/>
                <w:szCs w:val="16"/>
                <w:lang w:eastAsia="es-CO"/>
              </w:rPr>
              <w:br/>
              <w:t>Se ha terminado el reforzamiento de cimentación y estructura. En ejecución demolición de puntos fijos existente y construcción de filtros en sótano. De</w:t>
            </w:r>
            <w:r>
              <w:rPr>
                <w:rFonts w:ascii="Arial" w:hAnsi="Arial" w:cs="Arial"/>
                <w:sz w:val="16"/>
                <w:szCs w:val="16"/>
                <w:lang w:eastAsia="es-CO"/>
              </w:rPr>
              <w:t xml:space="preserve">molición de aleros en piso 6. </w:t>
            </w:r>
            <w:r>
              <w:rPr>
                <w:rFonts w:ascii="Arial" w:hAnsi="Arial" w:cs="Arial"/>
                <w:sz w:val="16"/>
                <w:szCs w:val="16"/>
                <w:lang w:eastAsia="es-CO"/>
              </w:rPr>
              <w:br/>
            </w:r>
            <w:r w:rsidRPr="00B3694F">
              <w:rPr>
                <w:rFonts w:ascii="Arial" w:hAnsi="Arial" w:cs="Arial"/>
                <w:sz w:val="16"/>
                <w:szCs w:val="16"/>
                <w:lang w:eastAsia="es-CO"/>
              </w:rPr>
              <w:t xml:space="preserve">FRENTE 3 ATRIO - EJES 21-30 </w:t>
            </w:r>
            <w:r w:rsidRPr="00B3694F">
              <w:rPr>
                <w:rFonts w:ascii="Arial" w:hAnsi="Arial" w:cs="Arial"/>
                <w:sz w:val="16"/>
                <w:szCs w:val="16"/>
                <w:lang w:eastAsia="es-CO"/>
              </w:rPr>
              <w:br/>
              <w:t>En ejecución actividades de vigas de cimentación y estructura para conformación de vacíos para ventilación e iluminació</w:t>
            </w:r>
            <w:r>
              <w:rPr>
                <w:rFonts w:ascii="Arial" w:hAnsi="Arial" w:cs="Arial"/>
                <w:sz w:val="16"/>
                <w:szCs w:val="16"/>
                <w:lang w:eastAsia="es-CO"/>
              </w:rPr>
              <w:t>n. Reforzamiento de estructura</w:t>
            </w:r>
            <w:r>
              <w:rPr>
                <w:rFonts w:ascii="Arial" w:hAnsi="Arial" w:cs="Arial"/>
                <w:sz w:val="16"/>
                <w:szCs w:val="16"/>
                <w:lang w:eastAsia="es-CO"/>
              </w:rPr>
              <w:br/>
            </w:r>
            <w:r w:rsidRPr="00B3694F">
              <w:rPr>
                <w:rFonts w:ascii="Arial" w:hAnsi="Arial" w:cs="Arial"/>
                <w:sz w:val="16"/>
                <w:szCs w:val="16"/>
                <w:lang w:eastAsia="es-CO"/>
              </w:rPr>
              <w:t>FRENTE 4 - PLATAFORMA 12-30 (bloques C Y D</w:t>
            </w:r>
            <w:r w:rsidRPr="00B3694F">
              <w:rPr>
                <w:rFonts w:ascii="Arial" w:hAnsi="Arial" w:cs="Arial"/>
                <w:sz w:val="16"/>
                <w:szCs w:val="16"/>
                <w:lang w:eastAsia="es-CO"/>
              </w:rPr>
              <w:br/>
              <w:t>Se han terminado actividades de cimentación en la zona de ampliación (plazoleta), en ejecuc</w:t>
            </w:r>
            <w:r>
              <w:rPr>
                <w:rFonts w:ascii="Arial" w:hAnsi="Arial" w:cs="Arial"/>
                <w:sz w:val="16"/>
                <w:szCs w:val="16"/>
                <w:lang w:eastAsia="es-CO"/>
              </w:rPr>
              <w:t>ión estructura en concreto.</w:t>
            </w:r>
            <w:r>
              <w:rPr>
                <w:rFonts w:ascii="Arial" w:hAnsi="Arial" w:cs="Arial"/>
                <w:sz w:val="16"/>
                <w:szCs w:val="16"/>
                <w:lang w:eastAsia="es-CO"/>
              </w:rPr>
              <w:br/>
            </w:r>
            <w:r w:rsidRPr="00B3694F">
              <w:rPr>
                <w:rFonts w:ascii="Arial" w:hAnsi="Arial" w:cs="Arial"/>
                <w:sz w:val="16"/>
                <w:szCs w:val="16"/>
                <w:lang w:eastAsia="es-CO"/>
              </w:rPr>
              <w:t xml:space="preserve">FRENTE 5 - EXTERIORES </w:t>
            </w:r>
            <w:r w:rsidRPr="00B3694F">
              <w:rPr>
                <w:rFonts w:ascii="Arial" w:hAnsi="Arial" w:cs="Arial"/>
                <w:sz w:val="16"/>
                <w:szCs w:val="16"/>
                <w:lang w:eastAsia="es-CO"/>
              </w:rPr>
              <w:br/>
              <w:t>Actividades de re</w:t>
            </w:r>
            <w:r>
              <w:rPr>
                <w:rFonts w:ascii="Arial" w:hAnsi="Arial" w:cs="Arial"/>
                <w:sz w:val="16"/>
                <w:szCs w:val="16"/>
                <w:lang w:eastAsia="es-CO"/>
              </w:rPr>
              <w:t>tiro de material de excavación</w:t>
            </w:r>
            <w:r>
              <w:rPr>
                <w:rFonts w:ascii="Arial" w:hAnsi="Arial" w:cs="Arial"/>
                <w:sz w:val="16"/>
                <w:szCs w:val="16"/>
                <w:lang w:eastAsia="es-CO"/>
              </w:rPr>
              <w:br/>
            </w:r>
            <w:r w:rsidRPr="00B3694F">
              <w:rPr>
                <w:rFonts w:ascii="Arial" w:hAnsi="Arial" w:cs="Arial"/>
                <w:sz w:val="16"/>
                <w:szCs w:val="16"/>
                <w:lang w:eastAsia="es-CO"/>
              </w:rPr>
              <w:t>En materia de temas administ</w:t>
            </w:r>
            <w:r>
              <w:rPr>
                <w:rFonts w:ascii="Arial" w:hAnsi="Arial" w:cs="Arial"/>
                <w:sz w:val="16"/>
                <w:szCs w:val="16"/>
                <w:lang w:eastAsia="es-CO"/>
              </w:rPr>
              <w:t>rativos se tiene lo siguiente:</w:t>
            </w:r>
            <w:r w:rsidR="003F6662">
              <w:rPr>
                <w:rFonts w:ascii="Arial" w:hAnsi="Arial" w:cs="Arial"/>
                <w:sz w:val="16"/>
                <w:szCs w:val="16"/>
                <w:lang w:eastAsia="es-CO"/>
              </w:rPr>
              <w:t xml:space="preserve"> </w:t>
            </w:r>
            <w:r w:rsidRPr="00B3694F">
              <w:rPr>
                <w:rFonts w:ascii="Arial" w:hAnsi="Arial" w:cs="Arial"/>
                <w:sz w:val="16"/>
                <w:szCs w:val="16"/>
                <w:lang w:eastAsia="es-CO"/>
              </w:rPr>
              <w:t>Se constituyó el encargo fiduciari</w:t>
            </w:r>
            <w:r w:rsidR="00147456">
              <w:rPr>
                <w:rFonts w:ascii="Arial" w:hAnsi="Arial" w:cs="Arial"/>
                <w:sz w:val="16"/>
                <w:szCs w:val="16"/>
                <w:lang w:eastAsia="es-CO"/>
              </w:rPr>
              <w:t xml:space="preserve">o para el manejo del anticipo, </w:t>
            </w:r>
            <w:r w:rsidRPr="00B3694F">
              <w:rPr>
                <w:rFonts w:ascii="Arial" w:hAnsi="Arial" w:cs="Arial"/>
                <w:sz w:val="16"/>
                <w:szCs w:val="16"/>
                <w:lang w:eastAsia="es-CO"/>
              </w:rPr>
              <w:t>Se han tramitado los pagos a los contratistas de obra e interventoría, en materia de anticipo y c</w:t>
            </w:r>
            <w:r>
              <w:rPr>
                <w:rFonts w:ascii="Arial" w:hAnsi="Arial" w:cs="Arial"/>
                <w:sz w:val="16"/>
                <w:szCs w:val="16"/>
                <w:lang w:eastAsia="es-CO"/>
              </w:rPr>
              <w:t>ortes de obra de enero a m</w:t>
            </w:r>
            <w:r w:rsidR="00147456">
              <w:rPr>
                <w:rFonts w:ascii="Arial" w:hAnsi="Arial" w:cs="Arial"/>
                <w:sz w:val="16"/>
                <w:szCs w:val="16"/>
                <w:lang w:eastAsia="es-CO"/>
              </w:rPr>
              <w:t xml:space="preserve">ayo, </w:t>
            </w:r>
            <w:r w:rsidRPr="00B3694F">
              <w:rPr>
                <w:rFonts w:ascii="Arial" w:hAnsi="Arial" w:cs="Arial"/>
                <w:sz w:val="16"/>
                <w:szCs w:val="16"/>
                <w:lang w:eastAsia="es-CO"/>
              </w:rPr>
              <w:t>Se celebran los comités de obra semanalmente (control</w:t>
            </w:r>
            <w:r>
              <w:rPr>
                <w:rFonts w:ascii="Arial" w:hAnsi="Arial" w:cs="Arial"/>
                <w:sz w:val="16"/>
                <w:szCs w:val="16"/>
                <w:lang w:eastAsia="es-CO"/>
              </w:rPr>
              <w:t xml:space="preserve"> programación, temas técnicos)</w:t>
            </w:r>
            <w:r w:rsidR="00816307">
              <w:rPr>
                <w:rFonts w:ascii="Arial" w:hAnsi="Arial" w:cs="Arial"/>
                <w:sz w:val="16"/>
                <w:szCs w:val="16"/>
                <w:lang w:eastAsia="es-CO"/>
              </w:rPr>
              <w:t xml:space="preserve">. </w:t>
            </w:r>
            <w:r w:rsidRPr="00B3694F">
              <w:rPr>
                <w:rFonts w:ascii="Arial" w:hAnsi="Arial" w:cs="Arial"/>
                <w:sz w:val="16"/>
                <w:szCs w:val="16"/>
                <w:lang w:eastAsia="es-CO"/>
              </w:rPr>
              <w:t>Se verifica el avance de las actividades previas de obra (contratacione</w:t>
            </w:r>
            <w:r w:rsidR="003F6662">
              <w:rPr>
                <w:rFonts w:ascii="Arial" w:hAnsi="Arial" w:cs="Arial"/>
                <w:sz w:val="16"/>
                <w:szCs w:val="16"/>
                <w:lang w:eastAsia="es-CO"/>
              </w:rPr>
              <w:t xml:space="preserve">s), </w:t>
            </w:r>
            <w:r w:rsidRPr="00B3694F">
              <w:rPr>
                <w:rFonts w:ascii="Arial" w:hAnsi="Arial" w:cs="Arial"/>
                <w:sz w:val="16"/>
                <w:szCs w:val="16"/>
                <w:lang w:eastAsia="es-CO"/>
              </w:rPr>
              <w:t>Se han atendido los requerimiento y cons</w:t>
            </w:r>
            <w:r>
              <w:rPr>
                <w:rFonts w:ascii="Arial" w:hAnsi="Arial" w:cs="Arial"/>
                <w:sz w:val="16"/>
                <w:szCs w:val="16"/>
                <w:lang w:eastAsia="es-CO"/>
              </w:rPr>
              <w:t>ultas de vecinos del proyecto.</w:t>
            </w:r>
            <w:r>
              <w:rPr>
                <w:rFonts w:ascii="Arial" w:hAnsi="Arial" w:cs="Arial"/>
                <w:sz w:val="16"/>
                <w:szCs w:val="16"/>
                <w:lang w:eastAsia="es-CO"/>
              </w:rPr>
              <w:br/>
            </w:r>
            <w:r w:rsidRPr="00B3694F">
              <w:rPr>
                <w:rFonts w:ascii="Arial" w:hAnsi="Arial" w:cs="Arial"/>
                <w:sz w:val="16"/>
                <w:szCs w:val="16"/>
                <w:lang w:eastAsia="es-CO"/>
              </w:rPr>
              <w:t>Se adelantan los recorridos de obra semanalmente.</w:t>
            </w:r>
          </w:p>
        </w:tc>
      </w:tr>
      <w:tr w:rsidR="00D21665" w:rsidRPr="00F948EE" w:rsidTr="000445F8">
        <w:trPr>
          <w:trHeight w:val="261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lastRenderedPageBreak/>
              <w:t>7507</w:t>
            </w:r>
          </w:p>
        </w:tc>
        <w:tc>
          <w:tcPr>
            <w:tcW w:w="330" w:type="pct"/>
            <w:tcBorders>
              <w:top w:val="nil"/>
              <w:left w:val="nil"/>
              <w:bottom w:val="nil"/>
              <w:right w:val="nil"/>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p>
        </w:tc>
        <w:tc>
          <w:tcPr>
            <w:tcW w:w="189"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5</w:t>
            </w:r>
          </w:p>
        </w:tc>
        <w:tc>
          <w:tcPr>
            <w:tcW w:w="472"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Construir 3 equipamiento para la Brigada XIII</w:t>
            </w:r>
          </w:p>
        </w:tc>
        <w:tc>
          <w:tcPr>
            <w:tcW w:w="221" w:type="pct"/>
            <w:tcBorders>
              <w:top w:val="nil"/>
              <w:left w:val="single" w:sz="4" w:space="0" w:color="auto"/>
              <w:bottom w:val="single" w:sz="4" w:space="0" w:color="auto"/>
              <w:right w:val="single" w:sz="4" w:space="0" w:color="auto"/>
            </w:tcBorders>
            <w:shd w:val="clear" w:color="auto" w:fill="auto"/>
            <w:noWrap/>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0,01</w:t>
            </w:r>
          </w:p>
        </w:tc>
        <w:tc>
          <w:tcPr>
            <w:tcW w:w="566"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color w:val="000000"/>
                <w:sz w:val="16"/>
                <w:szCs w:val="16"/>
                <w:lang w:eastAsia="es-CO"/>
              </w:rPr>
            </w:pPr>
            <w:r w:rsidRPr="00B3694F">
              <w:rPr>
                <w:rFonts w:ascii="Arial" w:hAnsi="Arial" w:cs="Arial"/>
                <w:color w:val="000000"/>
                <w:sz w:val="16"/>
                <w:szCs w:val="16"/>
                <w:lang w:eastAsia="es-CO"/>
              </w:rPr>
              <w:t>51.983.897</w:t>
            </w:r>
          </w:p>
        </w:tc>
        <w:tc>
          <w:tcPr>
            <w:tcW w:w="254"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 xml:space="preserve">0,00 </w:t>
            </w:r>
          </w:p>
        </w:tc>
        <w:tc>
          <w:tcPr>
            <w:tcW w:w="568"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45.511.684 </w:t>
            </w:r>
          </w:p>
        </w:tc>
        <w:tc>
          <w:tcPr>
            <w:tcW w:w="2213" w:type="pct"/>
            <w:tcBorders>
              <w:top w:val="nil"/>
              <w:left w:val="single" w:sz="4" w:space="0" w:color="auto"/>
              <w:bottom w:val="single" w:sz="4" w:space="0" w:color="auto"/>
              <w:right w:val="single" w:sz="4" w:space="0" w:color="auto"/>
            </w:tcBorders>
            <w:shd w:val="clear" w:color="000000" w:fill="FFFFFF"/>
            <w:hideMark/>
          </w:tcPr>
          <w:p w:rsidR="002E0574" w:rsidRPr="00B3694F" w:rsidRDefault="002E0574" w:rsidP="007B005E">
            <w:pPr>
              <w:spacing w:after="0" w:line="240" w:lineRule="auto"/>
              <w:rPr>
                <w:rFonts w:ascii="Arial" w:hAnsi="Arial" w:cs="Arial"/>
                <w:sz w:val="16"/>
                <w:szCs w:val="16"/>
                <w:lang w:eastAsia="es-CO"/>
              </w:rPr>
            </w:pPr>
            <w:r w:rsidRPr="00B3694F">
              <w:rPr>
                <w:rFonts w:ascii="Arial" w:hAnsi="Arial" w:cs="Arial"/>
                <w:sz w:val="16"/>
                <w:szCs w:val="16"/>
                <w:lang w:eastAsia="es-CO"/>
              </w:rPr>
              <w:t>Con el fin de adelantar la reubicación en condiciones óptimas del Comando de Reclutamiento del Ejército Nacional, para el fortalecimiento de las acciones de prevención, conservación y mantenimiento del orden público de la Brigada XIII del  Ejército Nacional, durante la vigencia 2018 la SDSCJ suscribió el convenio interadministrativo No. 1164 de 2018 con la AGENCIA NACIONAL INMOBILIARIA VIRGILIO BARCO VARGAS por valor de $4.000 millones cuyo objeto es “Aunar esfuerzos para el desarrollo de un proyecto inmobiliario en el Cantón Norte, para apoyar las funciones de reclutamiento de la Brigada XIII del Ejército Nacional”.</w:t>
            </w:r>
            <w:r w:rsidRPr="00B3694F">
              <w:rPr>
                <w:rFonts w:ascii="Arial" w:hAnsi="Arial" w:cs="Arial"/>
                <w:sz w:val="16"/>
                <w:szCs w:val="16"/>
                <w:lang w:eastAsia="es-CO"/>
              </w:rPr>
              <w:br/>
              <w:t>Es así, como en el marco de este convenio, se han realizado las siguientes gestiones a la fecha:</w:t>
            </w:r>
            <w:r w:rsidRPr="00B3694F">
              <w:rPr>
                <w:rFonts w:ascii="Arial" w:hAnsi="Arial" w:cs="Arial"/>
                <w:sz w:val="16"/>
                <w:szCs w:val="16"/>
                <w:lang w:eastAsia="es-CO"/>
              </w:rPr>
              <w:br/>
              <w:t>ü Se cuenta con la Resolución No 9010 del 31 de diciembre de 2018 expedida por el Ministerio de Defensa Nacional, por medio del cual se transfiere a Título de Aporte Fiduciario, el inmueble donde actualmente se encuentra ubicado el Comando de Reclutamiento y Control de Reservas del Ejercito Nacional.</w:t>
            </w:r>
            <w:r w:rsidRPr="00B3694F">
              <w:rPr>
                <w:rFonts w:ascii="Arial" w:hAnsi="Arial" w:cs="Arial"/>
                <w:sz w:val="16"/>
                <w:szCs w:val="16"/>
                <w:lang w:eastAsia="es-CO"/>
              </w:rPr>
              <w:br/>
              <w:t>ü Contrato de Fiducia Mercantil Irrevocable de Administración y pagos, suscrito entre la Fiduciaria Colpatria S.A. y Patrimonio Autónomo FC Agencia Nacional Inmobiliaria VBV – PAM.</w:t>
            </w:r>
            <w:r w:rsidRPr="00B3694F">
              <w:rPr>
                <w:rFonts w:ascii="Arial" w:hAnsi="Arial" w:cs="Arial"/>
                <w:sz w:val="16"/>
                <w:szCs w:val="16"/>
                <w:lang w:eastAsia="es-CO"/>
              </w:rPr>
              <w:br/>
              <w:t>ü Actualmente se encuentra en trámite la solicitud realizada por el Ministerio de Defensa a la Oficina de Registros de Instrumentos Públicos, el registro del acto administrativo mediante el cual transfirió a título de aporte el inmueble del Patrimonio Autónomo.</w:t>
            </w:r>
            <w:r w:rsidRPr="00B3694F">
              <w:rPr>
                <w:rFonts w:ascii="Arial" w:hAnsi="Arial" w:cs="Arial"/>
                <w:sz w:val="16"/>
                <w:szCs w:val="16"/>
                <w:lang w:eastAsia="es-CO"/>
              </w:rPr>
              <w:br/>
              <w:t>Se realizó el giro a la  ANI VBV por parte de la Secretaría.</w:t>
            </w:r>
          </w:p>
        </w:tc>
      </w:tr>
      <w:tr w:rsidR="00D21665" w:rsidRPr="00F948EE" w:rsidTr="000445F8">
        <w:trPr>
          <w:trHeight w:val="1800"/>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7507</w:t>
            </w:r>
          </w:p>
        </w:tc>
        <w:tc>
          <w:tcPr>
            <w:tcW w:w="330" w:type="pct"/>
            <w:tcBorders>
              <w:top w:val="nil"/>
              <w:left w:val="nil"/>
              <w:bottom w:val="nil"/>
              <w:right w:val="nil"/>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6</w:t>
            </w:r>
          </w:p>
        </w:tc>
        <w:tc>
          <w:tcPr>
            <w:tcW w:w="472"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Adquirir 2.532 equipos de cómputo y/o tecnológicos para los organismos de seguridad y defensa</w:t>
            </w:r>
            <w:r w:rsidRPr="00B3694F">
              <w:rPr>
                <w:rFonts w:ascii="Arial" w:hAnsi="Arial" w:cs="Arial"/>
                <w:color w:val="FFFFFF"/>
                <w:sz w:val="16"/>
                <w:szCs w:val="16"/>
                <w:lang w:eastAsia="es-CO"/>
              </w:rPr>
              <w:t xml:space="preserve"> (META COMPARTIDA)</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 xml:space="preserve">111 </w:t>
            </w:r>
          </w:p>
        </w:tc>
        <w:tc>
          <w:tcPr>
            <w:tcW w:w="566"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color w:val="000000"/>
                <w:sz w:val="16"/>
                <w:szCs w:val="16"/>
                <w:lang w:eastAsia="es-CO"/>
              </w:rPr>
            </w:pPr>
            <w:r w:rsidRPr="00B3694F">
              <w:rPr>
                <w:rFonts w:ascii="Arial" w:hAnsi="Arial" w:cs="Arial"/>
                <w:color w:val="000000"/>
                <w:sz w:val="16"/>
                <w:szCs w:val="16"/>
                <w:lang w:eastAsia="es-CO"/>
              </w:rPr>
              <w:t>139.048.584</w:t>
            </w: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 xml:space="preserve">53 </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color w:val="000000"/>
                <w:sz w:val="16"/>
                <w:szCs w:val="16"/>
                <w:lang w:eastAsia="es-CO"/>
              </w:rPr>
            </w:pPr>
            <w:r w:rsidRPr="00B3694F">
              <w:rPr>
                <w:rFonts w:ascii="Arial" w:hAnsi="Arial" w:cs="Arial"/>
                <w:color w:val="000000"/>
                <w:sz w:val="16"/>
                <w:szCs w:val="16"/>
                <w:lang w:eastAsia="es-CO"/>
              </w:rPr>
              <w:t>131.048.584</w:t>
            </w:r>
          </w:p>
        </w:tc>
        <w:tc>
          <w:tcPr>
            <w:tcW w:w="2213" w:type="pct"/>
            <w:tcBorders>
              <w:top w:val="single" w:sz="4" w:space="0" w:color="auto"/>
              <w:left w:val="single" w:sz="4" w:space="0" w:color="auto"/>
              <w:bottom w:val="single" w:sz="4" w:space="0" w:color="auto"/>
              <w:right w:val="single" w:sz="4" w:space="0" w:color="auto"/>
            </w:tcBorders>
            <w:shd w:val="clear" w:color="auto" w:fill="auto"/>
            <w:hideMark/>
          </w:tcPr>
          <w:p w:rsidR="002E0574" w:rsidRPr="00B3694F" w:rsidRDefault="002E0574" w:rsidP="007B005E">
            <w:pPr>
              <w:spacing w:after="0" w:line="240" w:lineRule="auto"/>
              <w:rPr>
                <w:rFonts w:ascii="Arial" w:hAnsi="Arial" w:cs="Arial"/>
                <w:sz w:val="16"/>
                <w:szCs w:val="16"/>
                <w:lang w:eastAsia="es-CO"/>
              </w:rPr>
            </w:pPr>
            <w:r w:rsidRPr="00B3694F">
              <w:rPr>
                <w:rFonts w:ascii="Arial" w:hAnsi="Arial" w:cs="Arial"/>
                <w:sz w:val="16"/>
                <w:szCs w:val="16"/>
                <w:lang w:eastAsia="es-CO"/>
              </w:rPr>
              <w:t>En lo corrido de la vigencia 2019 se entregaron los siguientes elementos tecnológicos para el fortalecimiento de los organismos de seguridad de la ciudad:</w:t>
            </w:r>
            <w:r w:rsidRPr="00B3694F">
              <w:rPr>
                <w:rFonts w:ascii="Arial" w:hAnsi="Arial" w:cs="Arial"/>
                <w:sz w:val="16"/>
                <w:szCs w:val="16"/>
                <w:lang w:eastAsia="es-CO"/>
              </w:rPr>
              <w:br/>
              <w:t>- 18 computadores portátiles para los siguientes organismos de seguridad</w:t>
            </w:r>
            <w:r w:rsidRPr="00B3694F">
              <w:rPr>
                <w:rFonts w:ascii="Arial" w:hAnsi="Arial" w:cs="Arial"/>
                <w:sz w:val="16"/>
                <w:szCs w:val="16"/>
                <w:lang w:eastAsia="es-CO"/>
              </w:rPr>
              <w:br/>
              <w:t>- 29 work stations, 1 proyector, 2 cámaras fotográficas, 245 discos duros externos, 1 pantalla interactiva, 2 televisores y 2 tabletas para la Fiscalía General de la Nación – Seccional Bogotá</w:t>
            </w:r>
            <w:r w:rsidRPr="00B3694F">
              <w:rPr>
                <w:rFonts w:ascii="Arial" w:hAnsi="Arial" w:cs="Arial"/>
                <w:sz w:val="16"/>
                <w:szCs w:val="16"/>
                <w:lang w:eastAsia="es-CO"/>
              </w:rPr>
              <w:br/>
              <w:t>- 23 cámaras fotográficas, 2 cámaras de video, 21 proyectores, 1 Impresora portátil, 4 telones eléctricos, 1 báscula y 13 picadoras de papel para la MEBOG</w:t>
            </w:r>
            <w:r w:rsidRPr="00B3694F">
              <w:rPr>
                <w:rFonts w:ascii="Arial" w:hAnsi="Arial" w:cs="Arial"/>
                <w:sz w:val="16"/>
                <w:szCs w:val="16"/>
                <w:lang w:eastAsia="es-CO"/>
              </w:rPr>
              <w:br/>
              <w:t>- 5 impresoras multifuncionales para la Brigada 13</w:t>
            </w:r>
          </w:p>
        </w:tc>
      </w:tr>
      <w:tr w:rsidR="00D21665" w:rsidRPr="00F948EE" w:rsidTr="000445F8">
        <w:trPr>
          <w:trHeight w:val="1425"/>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lastRenderedPageBreak/>
              <w:t>7507</w:t>
            </w:r>
          </w:p>
        </w:tc>
        <w:tc>
          <w:tcPr>
            <w:tcW w:w="330" w:type="pct"/>
            <w:tcBorders>
              <w:top w:val="nil"/>
              <w:left w:val="nil"/>
              <w:bottom w:val="nil"/>
              <w:right w:val="nil"/>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p>
        </w:tc>
        <w:tc>
          <w:tcPr>
            <w:tcW w:w="189"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7</w:t>
            </w:r>
          </w:p>
        </w:tc>
        <w:tc>
          <w:tcPr>
            <w:tcW w:w="472"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Garantizar 100 por ciento  el mantenimiento y sostenibilidad del parque automotor al servicio a los organismos de seguridad de la ciudad</w:t>
            </w:r>
          </w:p>
        </w:tc>
        <w:tc>
          <w:tcPr>
            <w:tcW w:w="221"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100%</w:t>
            </w:r>
          </w:p>
        </w:tc>
        <w:tc>
          <w:tcPr>
            <w:tcW w:w="566"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          18.790.724.798   </w:t>
            </w:r>
          </w:p>
        </w:tc>
        <w:tc>
          <w:tcPr>
            <w:tcW w:w="254"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100%</w:t>
            </w:r>
          </w:p>
        </w:tc>
        <w:tc>
          <w:tcPr>
            <w:tcW w:w="568"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color w:val="000000"/>
                <w:sz w:val="16"/>
                <w:szCs w:val="16"/>
                <w:lang w:eastAsia="es-CO"/>
              </w:rPr>
            </w:pPr>
            <w:r w:rsidRPr="00B3694F">
              <w:rPr>
                <w:rFonts w:ascii="Arial" w:hAnsi="Arial" w:cs="Arial"/>
                <w:color w:val="000000"/>
                <w:sz w:val="16"/>
                <w:szCs w:val="16"/>
                <w:lang w:eastAsia="es-CO"/>
              </w:rPr>
              <w:t>18.732.941.711</w:t>
            </w:r>
          </w:p>
        </w:tc>
        <w:tc>
          <w:tcPr>
            <w:tcW w:w="2213" w:type="pct"/>
            <w:tcBorders>
              <w:top w:val="nil"/>
              <w:left w:val="single" w:sz="4" w:space="0" w:color="auto"/>
              <w:bottom w:val="single" w:sz="4" w:space="0" w:color="auto"/>
              <w:right w:val="single" w:sz="4" w:space="0" w:color="auto"/>
            </w:tcBorders>
            <w:shd w:val="clear" w:color="auto" w:fill="auto"/>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En el trascurso del año 2019 se han realizado programas de mejora del parque automotor (vehículos, motos y bicicletas); en este proceso se han adelantado 6.087 mantenimientos a los vehículos de propiedad y/o a cargo de la SCJ</w:t>
            </w:r>
          </w:p>
        </w:tc>
      </w:tr>
      <w:tr w:rsidR="00D21665" w:rsidRPr="00F948EE" w:rsidTr="000445F8">
        <w:trPr>
          <w:trHeight w:val="3285"/>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7507</w:t>
            </w:r>
          </w:p>
        </w:tc>
        <w:tc>
          <w:tcPr>
            <w:tcW w:w="330" w:type="pct"/>
            <w:tcBorders>
              <w:top w:val="nil"/>
              <w:left w:val="nil"/>
              <w:bottom w:val="nil"/>
              <w:right w:val="nil"/>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p>
        </w:tc>
        <w:tc>
          <w:tcPr>
            <w:tcW w:w="189"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8</w:t>
            </w:r>
          </w:p>
        </w:tc>
        <w:tc>
          <w:tcPr>
            <w:tcW w:w="472"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 xml:space="preserve">Garantizar  100 por ciento  </w:t>
            </w:r>
            <w:r w:rsidRPr="00B3694F">
              <w:rPr>
                <w:rFonts w:ascii="Arial" w:hAnsi="Arial" w:cs="Arial"/>
                <w:color w:val="000000"/>
                <w:sz w:val="16"/>
                <w:szCs w:val="16"/>
                <w:lang w:eastAsia="es-CO"/>
              </w:rPr>
              <w:t>la sostenibilidad de los semovientes  detectores al servicio de los organismos de seguridad y defensa mediante la asignación de suministros</w:t>
            </w:r>
          </w:p>
        </w:tc>
        <w:tc>
          <w:tcPr>
            <w:tcW w:w="221"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100%</w:t>
            </w:r>
          </w:p>
        </w:tc>
        <w:tc>
          <w:tcPr>
            <w:tcW w:w="566"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color w:val="000000"/>
                <w:sz w:val="16"/>
                <w:szCs w:val="16"/>
                <w:lang w:eastAsia="es-CO"/>
              </w:rPr>
            </w:pPr>
            <w:r w:rsidRPr="00B3694F">
              <w:rPr>
                <w:rFonts w:ascii="Arial" w:hAnsi="Arial" w:cs="Arial"/>
                <w:color w:val="000000"/>
                <w:sz w:val="16"/>
                <w:szCs w:val="16"/>
                <w:lang w:eastAsia="es-CO"/>
              </w:rPr>
              <w:t>1.112.031.464</w:t>
            </w:r>
          </w:p>
        </w:tc>
        <w:tc>
          <w:tcPr>
            <w:tcW w:w="254"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100%</w:t>
            </w:r>
          </w:p>
        </w:tc>
        <w:tc>
          <w:tcPr>
            <w:tcW w:w="568"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color w:val="000000"/>
                <w:sz w:val="16"/>
                <w:szCs w:val="16"/>
                <w:lang w:eastAsia="es-CO"/>
              </w:rPr>
            </w:pPr>
            <w:r w:rsidRPr="00B3694F">
              <w:rPr>
                <w:rFonts w:ascii="Arial" w:hAnsi="Arial" w:cs="Arial"/>
                <w:color w:val="000000"/>
                <w:sz w:val="16"/>
                <w:szCs w:val="16"/>
                <w:lang w:eastAsia="es-CO"/>
              </w:rPr>
              <w:t>1.112.031.463</w:t>
            </w:r>
          </w:p>
        </w:tc>
        <w:tc>
          <w:tcPr>
            <w:tcW w:w="2213" w:type="pct"/>
            <w:tcBorders>
              <w:top w:val="nil"/>
              <w:left w:val="single" w:sz="4" w:space="0" w:color="auto"/>
              <w:bottom w:val="single" w:sz="4" w:space="0" w:color="auto"/>
              <w:right w:val="single" w:sz="4" w:space="0" w:color="auto"/>
            </w:tcBorders>
            <w:shd w:val="clear" w:color="auto" w:fill="auto"/>
            <w:hideMark/>
          </w:tcPr>
          <w:p w:rsidR="002E0574" w:rsidRPr="00B3694F" w:rsidRDefault="002E0574" w:rsidP="003F6662">
            <w:pPr>
              <w:spacing w:after="0" w:line="240" w:lineRule="auto"/>
              <w:rPr>
                <w:rFonts w:ascii="Arial" w:hAnsi="Arial" w:cs="Arial"/>
                <w:sz w:val="16"/>
                <w:szCs w:val="16"/>
                <w:lang w:eastAsia="es-CO"/>
              </w:rPr>
            </w:pPr>
            <w:r w:rsidRPr="00B3694F">
              <w:rPr>
                <w:rFonts w:ascii="Arial" w:hAnsi="Arial" w:cs="Arial"/>
                <w:sz w:val="16"/>
                <w:szCs w:val="16"/>
                <w:lang w:eastAsia="es-CO"/>
              </w:rPr>
              <w:t>Los semovientes caninos y equinos prestan apoyo a la seguridad de la ciudad de Bogotá, permiten el acceso a zonas de difícil acceso como son: Monserrate, el Parque Nacional, la pista del Aeropuerto El dorado, Villa Nidia, Quebrada La vieja, entre otras, y acompañan en eventos masivos evitando grandes aglomeraciones y posibles disturbios, además de ayudar a identificar materiales para la construcción de explosivos, disminuyendo la venta y distribución de estupefacientes y aún más importante, llegando a la comunidad desde una dinámica diferente, generando una mejor relación entre el ciudadano y la seguridad pública. Es por esto, que la Secretaría Distrital de Seguridad, Convivencia y Justicia cuenta a la fecha con 163 semovientes clasificados de la siguiente manera:</w:t>
            </w:r>
            <w:r w:rsidRPr="00B3694F">
              <w:rPr>
                <w:rFonts w:ascii="Arial" w:hAnsi="Arial" w:cs="Arial"/>
                <w:sz w:val="16"/>
                <w:szCs w:val="16"/>
                <w:lang w:eastAsia="es-CO"/>
              </w:rPr>
              <w:br/>
              <w:t xml:space="preserve">Semovientes equinos: Se cuenta con una caballada de 142 equinos al servicio de la MEBOG, de las razas Percherón, Deporte Colombiano, Mular, Mestizo Argentino, Criollos, ½ Oldemburg, ½ Guarymer, ½ Holstainer, ½ Sangre Inglés, ½ Percherón, ½ Sangre Belga, ½ Silla Argentina y ½ Westfalen. Estos semovientes se encuentran distribuidos en 5 fuertes, apoyando la prestación del servicio de vigilancia y seguridad de la ciudad y un 6º fuerte dedicado al mantenimiento, reproducción y entrenamiento de los semovientes. Estos fuertes son:Villa Nidia (Localidad de Usaquén), Norte (Localidad de Suba), Sur (Localidad de Ciudad Bolívar), Oriente (Parque nacional), Potrero DIPON (Av. Dorado), Mancilla (Facatativá) </w:t>
            </w:r>
            <w:r w:rsidRPr="00B3694F">
              <w:rPr>
                <w:rFonts w:ascii="Arial" w:hAnsi="Arial" w:cs="Arial"/>
                <w:sz w:val="16"/>
                <w:szCs w:val="16"/>
                <w:lang w:eastAsia="es-CO"/>
              </w:rPr>
              <w:br/>
              <w:t>ØSemovientes Caninos:Se cuenta con 8 semovientes caninos al servicio de la Metropolitana de Bogotá de raza Labrador, Golden retriver y Pastor Alemán los cuales fueron entrenados en las especialidades de antinarcóticos y antiexplosivos. En la actualidad 2 semovientes caninos se encuentran en servicio, los otros 6 caninos son seniles o no aptos. Distribuidos en los 3 fuertes con área de caniles: Villa Nidia (Localidad de Usaquén), Sur (Localidad de Ciudad Bolívar), Oriente (Parque nacional).</w:t>
            </w:r>
            <w:r w:rsidRPr="00B3694F">
              <w:rPr>
                <w:rFonts w:ascii="Arial" w:hAnsi="Arial" w:cs="Arial"/>
                <w:sz w:val="16"/>
                <w:szCs w:val="16"/>
                <w:lang w:eastAsia="es-CO"/>
              </w:rPr>
              <w:br/>
              <w:t>Se cuenta con 4 semovientes caninos al servicio de la Cárcel Distrital de Varones y anexo de mujeres, de razas Labrador y Pastor Belga Malinois, los cuales fueron entrenados en las especialidades de antinarcóticos y actualmente se encuentran en servicio continuo.</w:t>
            </w:r>
            <w:r w:rsidRPr="00B3694F">
              <w:rPr>
                <w:rFonts w:ascii="Arial" w:hAnsi="Arial" w:cs="Arial"/>
                <w:sz w:val="16"/>
                <w:szCs w:val="16"/>
                <w:lang w:eastAsia="es-CO"/>
              </w:rPr>
              <w:br/>
            </w:r>
            <w:r w:rsidRPr="00B3694F">
              <w:rPr>
                <w:rFonts w:ascii="Arial" w:hAnsi="Arial" w:cs="Arial"/>
                <w:sz w:val="16"/>
                <w:szCs w:val="16"/>
                <w:lang w:eastAsia="es-CO"/>
              </w:rPr>
              <w:lastRenderedPageBreak/>
              <w:t>8 cachorros en proceso de crecimiento y examen de aptitud para el servicio, un canino macho labrador al servicio de la vigilancia de la bodega de la SDSCJ y se está adelantando un proceso de compra de 22 semovientes caninos para la brigada 13.</w:t>
            </w:r>
            <w:r w:rsidRPr="00B3694F">
              <w:rPr>
                <w:rFonts w:ascii="Arial" w:hAnsi="Arial" w:cs="Arial"/>
                <w:sz w:val="16"/>
                <w:szCs w:val="16"/>
                <w:lang w:eastAsia="es-CO"/>
              </w:rPr>
              <w:br/>
              <w:t>Durante este periodo se realizaron 326 exámenes clínicos sistemáticos en campo, 22 atenciones de emergencias en campo, 45 remisiones para manejo hospitalario, 6 muertes, 1 nacimiento y 3 compras de semovientes equinos y 1 muerte y 8 nacimientos de semovientes caninos.</w:t>
            </w:r>
          </w:p>
        </w:tc>
      </w:tr>
      <w:tr w:rsidR="00D21665" w:rsidRPr="00F948EE" w:rsidTr="000445F8">
        <w:trPr>
          <w:trHeight w:val="153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lastRenderedPageBreak/>
              <w:t>7507</w:t>
            </w:r>
          </w:p>
        </w:tc>
        <w:tc>
          <w:tcPr>
            <w:tcW w:w="330" w:type="pct"/>
            <w:tcBorders>
              <w:top w:val="nil"/>
              <w:left w:val="nil"/>
              <w:bottom w:val="nil"/>
              <w:right w:val="nil"/>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p>
        </w:tc>
        <w:tc>
          <w:tcPr>
            <w:tcW w:w="189"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9</w:t>
            </w:r>
          </w:p>
        </w:tc>
        <w:tc>
          <w:tcPr>
            <w:tcW w:w="472"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Atender 100 por ciento los requerimientos en seguridad, comunicaciones  y logística del esquema de seguridad de la Alcaldía Mayor de Bogotá</w:t>
            </w:r>
          </w:p>
        </w:tc>
        <w:tc>
          <w:tcPr>
            <w:tcW w:w="221"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100%</w:t>
            </w:r>
          </w:p>
        </w:tc>
        <w:tc>
          <w:tcPr>
            <w:tcW w:w="566"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                96.939.900   </w:t>
            </w:r>
          </w:p>
        </w:tc>
        <w:tc>
          <w:tcPr>
            <w:tcW w:w="254"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100%</w:t>
            </w:r>
          </w:p>
        </w:tc>
        <w:tc>
          <w:tcPr>
            <w:tcW w:w="568"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color w:val="000000"/>
                <w:sz w:val="16"/>
                <w:szCs w:val="16"/>
                <w:lang w:eastAsia="es-CO"/>
              </w:rPr>
            </w:pPr>
            <w:r w:rsidRPr="00B3694F">
              <w:rPr>
                <w:rFonts w:ascii="Arial" w:hAnsi="Arial" w:cs="Arial"/>
                <w:color w:val="000000"/>
                <w:sz w:val="16"/>
                <w:szCs w:val="16"/>
                <w:lang w:eastAsia="es-CO"/>
              </w:rPr>
              <w:t>96.939.900</w:t>
            </w:r>
          </w:p>
        </w:tc>
        <w:tc>
          <w:tcPr>
            <w:tcW w:w="2213" w:type="pct"/>
            <w:tcBorders>
              <w:top w:val="nil"/>
              <w:left w:val="single" w:sz="4" w:space="0" w:color="auto"/>
              <w:bottom w:val="single" w:sz="4" w:space="0" w:color="auto"/>
              <w:right w:val="single" w:sz="4" w:space="0" w:color="auto"/>
            </w:tcBorders>
            <w:shd w:val="clear" w:color="auto" w:fill="auto"/>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Se han garantizado los gastos de logística generados por desplazamientos del esquema de seguridad del Alcalde Mayor. Adicionalmente en la vigencia 2019 se garantizó la prestación del servicio de telecomunicación bajo la tecnología truncking digital IDEN al servicio del esquema.</w:t>
            </w:r>
          </w:p>
        </w:tc>
      </w:tr>
      <w:tr w:rsidR="00D21665" w:rsidRPr="00F948EE" w:rsidTr="000445F8">
        <w:trPr>
          <w:trHeight w:val="153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7507</w:t>
            </w:r>
          </w:p>
        </w:tc>
        <w:tc>
          <w:tcPr>
            <w:tcW w:w="330" w:type="pct"/>
            <w:tcBorders>
              <w:top w:val="nil"/>
              <w:left w:val="nil"/>
              <w:bottom w:val="nil"/>
              <w:right w:val="nil"/>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p>
        </w:tc>
        <w:tc>
          <w:tcPr>
            <w:tcW w:w="189"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10</w:t>
            </w:r>
          </w:p>
        </w:tc>
        <w:tc>
          <w:tcPr>
            <w:tcW w:w="472"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Adquirir 3.847 medios de transporte  para el fortalecimiento de la movilidad de los organismos de seguridad</w:t>
            </w:r>
          </w:p>
        </w:tc>
        <w:tc>
          <w:tcPr>
            <w:tcW w:w="221"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60</w:t>
            </w:r>
          </w:p>
        </w:tc>
        <w:tc>
          <w:tcPr>
            <w:tcW w:w="566"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            1.942.898.038   </w:t>
            </w:r>
          </w:p>
        </w:tc>
        <w:tc>
          <w:tcPr>
            <w:tcW w:w="254"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 xml:space="preserve">41 </w:t>
            </w:r>
          </w:p>
        </w:tc>
        <w:tc>
          <w:tcPr>
            <w:tcW w:w="568"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1.942.898.038 </w:t>
            </w:r>
          </w:p>
        </w:tc>
        <w:tc>
          <w:tcPr>
            <w:tcW w:w="2213" w:type="pct"/>
            <w:tcBorders>
              <w:top w:val="nil"/>
              <w:left w:val="single" w:sz="4" w:space="0" w:color="auto"/>
              <w:bottom w:val="single" w:sz="4" w:space="0" w:color="auto"/>
              <w:right w:val="single" w:sz="4" w:space="0" w:color="auto"/>
            </w:tcBorders>
            <w:shd w:val="clear" w:color="auto" w:fill="auto"/>
            <w:hideMark/>
          </w:tcPr>
          <w:p w:rsidR="002E0574" w:rsidRPr="00B3694F" w:rsidRDefault="002E0574" w:rsidP="007B005E">
            <w:pPr>
              <w:spacing w:after="0" w:line="240" w:lineRule="auto"/>
              <w:rPr>
                <w:rFonts w:ascii="Arial" w:hAnsi="Arial" w:cs="Arial"/>
                <w:sz w:val="16"/>
                <w:szCs w:val="16"/>
                <w:lang w:eastAsia="es-CO"/>
              </w:rPr>
            </w:pPr>
            <w:r w:rsidRPr="00B3694F">
              <w:rPr>
                <w:rFonts w:ascii="Arial" w:hAnsi="Arial" w:cs="Arial"/>
                <w:sz w:val="16"/>
                <w:szCs w:val="16"/>
                <w:lang w:eastAsia="es-CO"/>
              </w:rPr>
              <w:t>• MEBOG: 1 ambulancia, 250 bicicletas, 19 buses, 45 camionetas, 1 carrotanque, 15 motocicletas</w:t>
            </w:r>
            <w:r w:rsidRPr="00B3694F">
              <w:rPr>
                <w:rFonts w:ascii="Arial" w:hAnsi="Arial" w:cs="Arial"/>
                <w:sz w:val="16"/>
                <w:szCs w:val="16"/>
                <w:lang w:eastAsia="es-CO"/>
              </w:rPr>
              <w:br/>
              <w:t>• Brigada XIII: 50 Bicicletas</w:t>
            </w:r>
            <w:r w:rsidRPr="00B3694F">
              <w:rPr>
                <w:rFonts w:ascii="Arial" w:hAnsi="Arial" w:cs="Arial"/>
                <w:sz w:val="16"/>
                <w:szCs w:val="16"/>
                <w:lang w:eastAsia="es-CO"/>
              </w:rPr>
              <w:br/>
              <w:t>• Para uso de la SCJ:  4 casas de justicia, 1 camioneta (por reposición de aseguradora), 1 bus y 2 motocicletas para la Carcel Distrital</w:t>
            </w:r>
          </w:p>
        </w:tc>
      </w:tr>
      <w:tr w:rsidR="00D21665" w:rsidRPr="00F948EE" w:rsidTr="000445F8">
        <w:trPr>
          <w:trHeight w:val="153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lastRenderedPageBreak/>
              <w:t>7507</w:t>
            </w:r>
          </w:p>
        </w:tc>
        <w:tc>
          <w:tcPr>
            <w:tcW w:w="330" w:type="pct"/>
            <w:tcBorders>
              <w:top w:val="nil"/>
              <w:left w:val="nil"/>
              <w:bottom w:val="nil"/>
              <w:right w:val="nil"/>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p>
        </w:tc>
        <w:tc>
          <w:tcPr>
            <w:tcW w:w="189"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11</w:t>
            </w:r>
          </w:p>
        </w:tc>
        <w:tc>
          <w:tcPr>
            <w:tcW w:w="472"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 xml:space="preserve">Mantener 100 por ciento </w:t>
            </w:r>
            <w:r w:rsidRPr="00B3694F">
              <w:rPr>
                <w:rFonts w:ascii="Arial" w:hAnsi="Arial" w:cs="Arial"/>
                <w:color w:val="000000"/>
                <w:sz w:val="16"/>
                <w:szCs w:val="16"/>
                <w:lang w:eastAsia="es-CO"/>
              </w:rPr>
              <w:t>los equipos técnicos de inteligencia e investigación criminal para los organismos de seguridad y defensa de la ciudad</w:t>
            </w:r>
          </w:p>
        </w:tc>
        <w:tc>
          <w:tcPr>
            <w:tcW w:w="221"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100%</w:t>
            </w:r>
          </w:p>
        </w:tc>
        <w:tc>
          <w:tcPr>
            <w:tcW w:w="566"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               160.888.000   </w:t>
            </w:r>
          </w:p>
        </w:tc>
        <w:tc>
          <w:tcPr>
            <w:tcW w:w="254"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100%</w:t>
            </w:r>
          </w:p>
        </w:tc>
        <w:tc>
          <w:tcPr>
            <w:tcW w:w="568"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160.888.000 </w:t>
            </w:r>
          </w:p>
        </w:tc>
        <w:tc>
          <w:tcPr>
            <w:tcW w:w="2213" w:type="pct"/>
            <w:tcBorders>
              <w:top w:val="nil"/>
              <w:left w:val="single" w:sz="4" w:space="0" w:color="auto"/>
              <w:bottom w:val="single" w:sz="4" w:space="0" w:color="auto"/>
              <w:right w:val="single" w:sz="4" w:space="0" w:color="auto"/>
            </w:tcBorders>
            <w:shd w:val="clear" w:color="auto" w:fill="auto"/>
            <w:hideMark/>
          </w:tcPr>
          <w:p w:rsidR="002E0574" w:rsidRPr="00B3694F" w:rsidRDefault="002E0574" w:rsidP="007B005E">
            <w:pPr>
              <w:spacing w:after="0" w:line="240" w:lineRule="auto"/>
              <w:rPr>
                <w:rFonts w:ascii="Arial" w:hAnsi="Arial" w:cs="Arial"/>
                <w:sz w:val="16"/>
                <w:szCs w:val="16"/>
                <w:lang w:eastAsia="es-CO"/>
              </w:rPr>
            </w:pPr>
            <w:r w:rsidRPr="00B3694F">
              <w:rPr>
                <w:rFonts w:ascii="Arial" w:hAnsi="Arial" w:cs="Arial"/>
                <w:sz w:val="16"/>
                <w:szCs w:val="16"/>
                <w:lang w:eastAsia="es-CO"/>
              </w:rPr>
              <w:t>Adquisición equipos de inteligencia e investigación</w:t>
            </w:r>
            <w:r w:rsidRPr="00B3694F">
              <w:rPr>
                <w:rFonts w:ascii="Arial" w:hAnsi="Arial" w:cs="Arial"/>
                <w:sz w:val="16"/>
                <w:szCs w:val="16"/>
                <w:lang w:eastAsia="es-CO"/>
              </w:rPr>
              <w:br/>
            </w:r>
            <w:r w:rsidRPr="00B3694F">
              <w:rPr>
                <w:rFonts w:ascii="Arial" w:hAnsi="Arial" w:cs="Arial"/>
                <w:sz w:val="16"/>
                <w:szCs w:val="16"/>
                <w:lang w:eastAsia="es-CO"/>
              </w:rPr>
              <w:br/>
              <w:t>• Estereomicroscopio triocular para análisis e investigación: En el primer semestre de la vigencia 2019 la Secretaría Distrital de Seguridad, Convivencia y Justicia en el marco del contrato No. 1002 de 2018 suscrito por valor de $372.500.940, realizó la entrega al laboratorio de lofoscopia de la Fiscalía General de la Nación - Seccional Bogotá, de un (1) estereomicroscopio triocular para análisis e investigación, con el fin de fortalecer las funciones de identificación de los responsables de los delitos de suplantación en las variables de delitos contra el patrimonio económico, contra los derechos de autor, así como también los responsables en delitos contra la libertad individual, contra la seguridad y salud pública, contra la vida y la integridad personal.</w:t>
            </w:r>
            <w:r w:rsidRPr="00B3694F">
              <w:rPr>
                <w:rFonts w:ascii="Arial" w:hAnsi="Arial" w:cs="Arial"/>
                <w:sz w:val="16"/>
                <w:szCs w:val="16"/>
                <w:lang w:eastAsia="es-CO"/>
              </w:rPr>
              <w:br/>
            </w:r>
            <w:r w:rsidRPr="00B3694F">
              <w:rPr>
                <w:rFonts w:ascii="Arial" w:hAnsi="Arial" w:cs="Arial"/>
                <w:sz w:val="16"/>
                <w:szCs w:val="16"/>
                <w:lang w:eastAsia="es-CO"/>
              </w:rPr>
              <w:br/>
              <w:t>• Otros equipos de inteligencia: Durante la vigencia 2019, se entregaron 1198 los equipos de inteligencia e investigación a los organismos de seguridad.</w:t>
            </w:r>
            <w:r>
              <w:rPr>
                <w:rFonts w:ascii="Arial" w:hAnsi="Arial" w:cs="Arial"/>
                <w:sz w:val="16"/>
                <w:szCs w:val="16"/>
                <w:lang w:eastAsia="es-CO"/>
              </w:rPr>
              <w:t xml:space="preserve"> e</w:t>
            </w:r>
            <w:r w:rsidRPr="00B3694F">
              <w:rPr>
                <w:rFonts w:ascii="Arial" w:hAnsi="Arial" w:cs="Arial"/>
                <w:sz w:val="16"/>
                <w:szCs w:val="16"/>
                <w:lang w:eastAsia="es-CO"/>
              </w:rPr>
              <w:t>n donde 732 fueron entregados a la Fiscalia y 466 a la MEBOG</w:t>
            </w:r>
          </w:p>
        </w:tc>
      </w:tr>
      <w:tr w:rsidR="00D21665" w:rsidRPr="00F948EE" w:rsidTr="000445F8">
        <w:trPr>
          <w:trHeight w:val="153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7507</w:t>
            </w:r>
          </w:p>
        </w:tc>
        <w:tc>
          <w:tcPr>
            <w:tcW w:w="330" w:type="pct"/>
            <w:tcBorders>
              <w:top w:val="nil"/>
              <w:left w:val="nil"/>
              <w:bottom w:val="nil"/>
              <w:right w:val="nil"/>
            </w:tcBorders>
            <w:shd w:val="clear" w:color="auto" w:fill="auto"/>
            <w:vAlign w:val="center"/>
            <w:hideMark/>
          </w:tcPr>
          <w:p w:rsidR="002E0574" w:rsidRPr="00B3694F" w:rsidRDefault="002E0574" w:rsidP="007B005E">
            <w:pPr>
              <w:spacing w:after="0" w:line="240" w:lineRule="auto"/>
              <w:rPr>
                <w:rFonts w:ascii="Arial" w:hAnsi="Arial" w:cs="Arial"/>
                <w:sz w:val="16"/>
                <w:szCs w:val="16"/>
                <w:lang w:eastAsia="es-CO"/>
              </w:rPr>
            </w:pPr>
            <w:r w:rsidRPr="00B3694F">
              <w:rPr>
                <w:rFonts w:ascii="Arial" w:hAnsi="Arial" w:cs="Arial"/>
                <w:sz w:val="16"/>
                <w:szCs w:val="16"/>
                <w:lang w:eastAsia="es-CO"/>
              </w:rPr>
              <w:t>FORTALECIMIENTO DE LOS ORGANISMOS DE SEGURIDAD DEL DISTRITO</w:t>
            </w:r>
          </w:p>
        </w:tc>
        <w:tc>
          <w:tcPr>
            <w:tcW w:w="189"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12</w:t>
            </w:r>
          </w:p>
        </w:tc>
        <w:tc>
          <w:tcPr>
            <w:tcW w:w="472"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Adquirir 1644  equipos técnicos de inteligencia e investigación criminal para los organismos de seguridad y defensa de la ciudad</w:t>
            </w:r>
          </w:p>
        </w:tc>
        <w:tc>
          <w:tcPr>
            <w:tcW w:w="221" w:type="pct"/>
            <w:tcBorders>
              <w:top w:val="nil"/>
              <w:left w:val="single" w:sz="4" w:space="0" w:color="auto"/>
              <w:bottom w:val="single" w:sz="4" w:space="0" w:color="auto"/>
              <w:right w:val="single" w:sz="4" w:space="0" w:color="auto"/>
            </w:tcBorders>
            <w:shd w:val="clear" w:color="auto" w:fill="auto"/>
            <w:noWrap/>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1152</w:t>
            </w:r>
          </w:p>
        </w:tc>
        <w:tc>
          <w:tcPr>
            <w:tcW w:w="566"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            4.931.431.260   </w:t>
            </w:r>
          </w:p>
        </w:tc>
        <w:tc>
          <w:tcPr>
            <w:tcW w:w="254" w:type="pct"/>
            <w:tcBorders>
              <w:top w:val="nil"/>
              <w:left w:val="nil"/>
              <w:bottom w:val="single" w:sz="4" w:space="0" w:color="auto"/>
              <w:right w:val="single" w:sz="4" w:space="0" w:color="auto"/>
            </w:tcBorders>
            <w:shd w:val="clear" w:color="auto" w:fill="auto"/>
            <w:noWrap/>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1152</w:t>
            </w:r>
          </w:p>
        </w:tc>
        <w:tc>
          <w:tcPr>
            <w:tcW w:w="568"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4.931.431.260 </w:t>
            </w:r>
          </w:p>
        </w:tc>
        <w:tc>
          <w:tcPr>
            <w:tcW w:w="2213" w:type="pct"/>
            <w:tcBorders>
              <w:top w:val="nil"/>
              <w:left w:val="single" w:sz="4" w:space="0" w:color="auto"/>
              <w:bottom w:val="single" w:sz="4" w:space="0" w:color="auto"/>
              <w:right w:val="single" w:sz="4" w:space="0" w:color="auto"/>
            </w:tcBorders>
            <w:shd w:val="clear" w:color="auto" w:fill="auto"/>
            <w:hideMark/>
          </w:tcPr>
          <w:p w:rsidR="002E0574" w:rsidRPr="00B3694F" w:rsidRDefault="002E0574" w:rsidP="007B005E">
            <w:pPr>
              <w:spacing w:after="0" w:line="240" w:lineRule="auto"/>
              <w:rPr>
                <w:rFonts w:ascii="Arial" w:hAnsi="Arial" w:cs="Arial"/>
                <w:sz w:val="16"/>
                <w:szCs w:val="16"/>
                <w:lang w:eastAsia="es-CO"/>
              </w:rPr>
            </w:pPr>
            <w:r w:rsidRPr="00B3694F">
              <w:rPr>
                <w:rFonts w:ascii="Arial" w:hAnsi="Arial" w:cs="Arial"/>
                <w:sz w:val="16"/>
                <w:szCs w:val="16"/>
                <w:lang w:eastAsia="es-CO"/>
              </w:rPr>
              <w:t>Adquisición equipos de inteligencia e investigación</w:t>
            </w:r>
            <w:r w:rsidRPr="00B3694F">
              <w:rPr>
                <w:rFonts w:ascii="Arial" w:hAnsi="Arial" w:cs="Arial"/>
                <w:sz w:val="16"/>
                <w:szCs w:val="16"/>
                <w:lang w:eastAsia="es-CO"/>
              </w:rPr>
              <w:br/>
            </w:r>
            <w:r w:rsidRPr="00B3694F">
              <w:rPr>
                <w:rFonts w:ascii="Arial" w:hAnsi="Arial" w:cs="Arial"/>
                <w:sz w:val="16"/>
                <w:szCs w:val="16"/>
                <w:lang w:eastAsia="es-CO"/>
              </w:rPr>
              <w:br/>
              <w:t>• Estereomicroscopio triocular para análisis e investigación: En el primer semestre de la vigencia 2019 la Secretaría Distrital de Seguridad, Convivencia y Justicia en el marco del contrato No. 1002 de 2018 suscrito por valor de $372.500.940, realizó la entrega al laboratorio de lofoscopia de la Fiscalía General de la Nación - Seccional Bogotá, de un (1) estereomicroscopio triocular para análisis e investigación, con el fin de fortalecer las funciones de identificación de los responsables de los delitos de suplantación en las variables de delitos contra el patrimonio económico, contra los derechos de autor, así como también los responsables en delitos contra la libertad individual, contra la seguridad y salud pública, contra la vida y la integridad personal.</w:t>
            </w:r>
            <w:r w:rsidRPr="00B3694F">
              <w:rPr>
                <w:rFonts w:ascii="Arial" w:hAnsi="Arial" w:cs="Arial"/>
                <w:sz w:val="16"/>
                <w:szCs w:val="16"/>
                <w:lang w:eastAsia="es-CO"/>
              </w:rPr>
              <w:br/>
            </w:r>
            <w:r w:rsidRPr="00B3694F">
              <w:rPr>
                <w:rFonts w:ascii="Arial" w:hAnsi="Arial" w:cs="Arial"/>
                <w:sz w:val="16"/>
                <w:szCs w:val="16"/>
                <w:lang w:eastAsia="es-CO"/>
              </w:rPr>
              <w:br/>
              <w:t>• Otros equipos de inteligencia: Durante la vigencia 2019, se entregaron 1198 los equipos de inteligencia e investigación a los organismos de seguridad.En donde 732 fueron entregados a la Fiscalia y 466 a la MEBOG</w:t>
            </w:r>
          </w:p>
        </w:tc>
      </w:tr>
      <w:tr w:rsidR="00D21665" w:rsidRPr="00F948EE" w:rsidTr="000445F8">
        <w:trPr>
          <w:trHeight w:val="1575"/>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lastRenderedPageBreak/>
              <w:t>7507</w:t>
            </w:r>
          </w:p>
        </w:tc>
        <w:tc>
          <w:tcPr>
            <w:tcW w:w="330" w:type="pct"/>
            <w:tcBorders>
              <w:top w:val="nil"/>
              <w:left w:val="nil"/>
              <w:bottom w:val="nil"/>
              <w:right w:val="nil"/>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p>
        </w:tc>
        <w:tc>
          <w:tcPr>
            <w:tcW w:w="189"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13</w:t>
            </w:r>
          </w:p>
        </w:tc>
        <w:tc>
          <w:tcPr>
            <w:tcW w:w="472"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Garantizar 100 por ciento la operación y sostenimiento del proyecto</w:t>
            </w:r>
          </w:p>
        </w:tc>
        <w:tc>
          <w:tcPr>
            <w:tcW w:w="221"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100%</w:t>
            </w:r>
          </w:p>
        </w:tc>
        <w:tc>
          <w:tcPr>
            <w:tcW w:w="566" w:type="pct"/>
            <w:tcBorders>
              <w:top w:val="nil"/>
              <w:left w:val="nil"/>
              <w:bottom w:val="single" w:sz="4" w:space="0" w:color="auto"/>
              <w:right w:val="single" w:sz="4" w:space="0" w:color="auto"/>
            </w:tcBorders>
            <w:shd w:val="clear" w:color="000000" w:fill="FFFFFF"/>
            <w:vAlign w:val="center"/>
            <w:hideMark/>
          </w:tcPr>
          <w:p w:rsidR="002E0574" w:rsidRPr="00B3694F" w:rsidRDefault="002E0574" w:rsidP="007B005E">
            <w:pPr>
              <w:spacing w:after="0" w:line="240" w:lineRule="auto"/>
              <w:jc w:val="right"/>
              <w:rPr>
                <w:rFonts w:ascii="Arial" w:hAnsi="Arial" w:cs="Arial"/>
                <w:color w:val="000000"/>
                <w:sz w:val="16"/>
                <w:szCs w:val="16"/>
                <w:lang w:eastAsia="es-CO"/>
              </w:rPr>
            </w:pPr>
            <w:r w:rsidRPr="00B3694F">
              <w:rPr>
                <w:rFonts w:ascii="Arial" w:hAnsi="Arial" w:cs="Arial"/>
                <w:color w:val="000000"/>
                <w:sz w:val="16"/>
                <w:szCs w:val="16"/>
                <w:lang w:eastAsia="es-CO"/>
              </w:rPr>
              <w:t>25.838.410.689</w:t>
            </w:r>
          </w:p>
        </w:tc>
        <w:tc>
          <w:tcPr>
            <w:tcW w:w="254"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100%</w:t>
            </w:r>
          </w:p>
        </w:tc>
        <w:tc>
          <w:tcPr>
            <w:tcW w:w="568"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25.713.044.282 </w:t>
            </w:r>
          </w:p>
        </w:tc>
        <w:tc>
          <w:tcPr>
            <w:tcW w:w="2213" w:type="pct"/>
            <w:tcBorders>
              <w:top w:val="nil"/>
              <w:left w:val="single" w:sz="4" w:space="0" w:color="auto"/>
              <w:bottom w:val="single" w:sz="4" w:space="0" w:color="auto"/>
              <w:right w:val="single" w:sz="4" w:space="0" w:color="auto"/>
            </w:tcBorders>
            <w:shd w:val="clear" w:color="auto" w:fill="auto"/>
            <w:hideMark/>
          </w:tcPr>
          <w:p w:rsidR="002E0574" w:rsidRPr="00B3694F" w:rsidRDefault="002E0574" w:rsidP="007B005E">
            <w:pPr>
              <w:spacing w:after="0" w:line="240" w:lineRule="auto"/>
              <w:rPr>
                <w:rFonts w:ascii="Arial" w:hAnsi="Arial" w:cs="Arial"/>
                <w:sz w:val="16"/>
                <w:szCs w:val="16"/>
                <w:lang w:eastAsia="es-CO"/>
              </w:rPr>
            </w:pPr>
            <w:r w:rsidRPr="00B3694F">
              <w:rPr>
                <w:rFonts w:ascii="Arial" w:hAnsi="Arial" w:cs="Arial"/>
                <w:sz w:val="16"/>
                <w:szCs w:val="16"/>
                <w:lang w:eastAsia="es-CO"/>
              </w:rPr>
              <w:t>Dentro de las funciones de la Secretaría Distrital de Seguridad, Convivencia y Justicia, se encuentra la de brindar las herramientas necesarias para la seguridad, convivencia y acceso a la justicia, fortaleciendo los organismos de seguridad y justicia del Distrito, a través de inversiones que mejoren sus capacidades y sus equipamientos para que sean más efectivos en sus acciones.</w:t>
            </w:r>
            <w:r w:rsidRPr="00B3694F">
              <w:rPr>
                <w:rFonts w:ascii="Arial" w:hAnsi="Arial" w:cs="Arial"/>
                <w:sz w:val="16"/>
                <w:szCs w:val="16"/>
                <w:lang w:eastAsia="es-CO"/>
              </w:rPr>
              <w:br/>
            </w:r>
            <w:r w:rsidRPr="00B3694F">
              <w:rPr>
                <w:rFonts w:ascii="Arial" w:hAnsi="Arial" w:cs="Arial"/>
                <w:sz w:val="16"/>
                <w:szCs w:val="16"/>
                <w:lang w:eastAsia="es-CO"/>
              </w:rPr>
              <w:br/>
              <w:t>En el marco de las competencias antes descritas, la Secretaría Distrital de Seguridad cuenta con un parque automotor entregado a través de Contratos de Comodato a los diferentes organismos de seguridad de la ciudad, como lo son: la Policía Metropolitana de Bogotá - MEBOG y el Ejército Nacional - Brigada XIII, de las cuales la Secretaría Distrital de Seguridad debe garantizar el suministro de combustible a los vehículos automotores disponibles a la fecha, en aproximadamente 5.500 unidades, que deben ser abastecidos durante la ejecución del contrato.</w:t>
            </w:r>
          </w:p>
        </w:tc>
      </w:tr>
      <w:tr w:rsidR="00D21665" w:rsidRPr="00F948EE" w:rsidTr="000445F8">
        <w:trPr>
          <w:trHeight w:val="2668"/>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7507</w:t>
            </w:r>
          </w:p>
        </w:tc>
        <w:tc>
          <w:tcPr>
            <w:tcW w:w="330" w:type="pct"/>
            <w:tcBorders>
              <w:top w:val="nil"/>
              <w:left w:val="nil"/>
              <w:bottom w:val="nil"/>
              <w:right w:val="nil"/>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p>
        </w:tc>
        <w:tc>
          <w:tcPr>
            <w:tcW w:w="189"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14</w:t>
            </w:r>
          </w:p>
        </w:tc>
        <w:tc>
          <w:tcPr>
            <w:tcW w:w="472"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Suministrar 1.246.212 raciones de alimentos para eventos especiales de los organismos de seguridad  de la ciudad</w:t>
            </w:r>
          </w:p>
        </w:tc>
        <w:tc>
          <w:tcPr>
            <w:tcW w:w="221"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694639</w:t>
            </w:r>
          </w:p>
        </w:tc>
        <w:tc>
          <w:tcPr>
            <w:tcW w:w="566"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6.721.538.020 </w:t>
            </w:r>
          </w:p>
        </w:tc>
        <w:tc>
          <w:tcPr>
            <w:tcW w:w="254" w:type="pct"/>
            <w:tcBorders>
              <w:top w:val="nil"/>
              <w:left w:val="nil"/>
              <w:bottom w:val="single" w:sz="4" w:space="0" w:color="auto"/>
              <w:right w:val="single" w:sz="4" w:space="0" w:color="auto"/>
            </w:tcBorders>
            <w:shd w:val="clear" w:color="auto" w:fill="auto"/>
            <w:noWrap/>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694639</w:t>
            </w:r>
          </w:p>
        </w:tc>
        <w:tc>
          <w:tcPr>
            <w:tcW w:w="568"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6.719.995.110 </w:t>
            </w:r>
          </w:p>
        </w:tc>
        <w:tc>
          <w:tcPr>
            <w:tcW w:w="2213" w:type="pct"/>
            <w:tcBorders>
              <w:top w:val="nil"/>
              <w:left w:val="single" w:sz="4" w:space="0" w:color="auto"/>
              <w:bottom w:val="single" w:sz="4" w:space="0" w:color="auto"/>
              <w:right w:val="single" w:sz="4" w:space="0" w:color="auto"/>
            </w:tcBorders>
            <w:shd w:val="clear" w:color="auto" w:fill="auto"/>
            <w:hideMark/>
          </w:tcPr>
          <w:p w:rsidR="002E0574" w:rsidRPr="00B3694F" w:rsidRDefault="002E0574" w:rsidP="007B005E">
            <w:pPr>
              <w:spacing w:after="0" w:line="240" w:lineRule="auto"/>
              <w:rPr>
                <w:rFonts w:ascii="Arial" w:hAnsi="Arial" w:cs="Arial"/>
                <w:sz w:val="16"/>
                <w:szCs w:val="16"/>
                <w:lang w:eastAsia="es-CO"/>
              </w:rPr>
            </w:pPr>
            <w:r w:rsidRPr="00B3694F">
              <w:rPr>
                <w:rFonts w:ascii="Arial" w:hAnsi="Arial" w:cs="Arial"/>
                <w:sz w:val="16"/>
                <w:szCs w:val="16"/>
                <w:lang w:eastAsia="es-CO"/>
              </w:rPr>
              <w:t>Entre el 1º de enero y el 30 de septiembre de 2019 se suministraron 123.774 alimentos y bebidas (refrigerios) que apoyan de forma eficiente las actividades que prestan los organismos de seguridad en Bogotá en el marco de los contratos 670 de 2018 y 783 de 2019.</w:t>
            </w:r>
            <w:r w:rsidRPr="00B3694F">
              <w:rPr>
                <w:rFonts w:ascii="Arial" w:hAnsi="Arial" w:cs="Arial"/>
                <w:sz w:val="16"/>
                <w:szCs w:val="16"/>
                <w:lang w:eastAsia="es-CO"/>
              </w:rPr>
              <w:br/>
              <w:t>Así mismo a través del contrato 783 de 2019 que tiene como objeto “Suministro de alimentos y bebidas para el personal de los organismos de seguridad que prestan sus servicios en el Distrito Capital”, durante el periodo de abril a noviembre de la vigencia 2019, se suministraron un total de 286.668 alimentos y 101.080 bebidas.</w:t>
            </w:r>
            <w:r w:rsidRPr="00B3694F">
              <w:rPr>
                <w:rFonts w:ascii="Arial" w:hAnsi="Arial" w:cs="Arial"/>
                <w:sz w:val="16"/>
                <w:szCs w:val="16"/>
                <w:lang w:eastAsia="es-CO"/>
              </w:rPr>
              <w:br/>
              <w:t>Por urgencia manifiesta, teniendo en cuenta el Radicado No 20194300189313 de la MEBOG, se suscribió el contrato 1075 de 2019 con objeto “Suministro de alimentos y bebidas para el personal de los organismos de seguridad   que prestan sus servicios en el Distrito Capital, para acompañar las protestas sociales y atender las alteraciones de orden público”, durante el periodo de abril a noviembre de la vigencia 2019, se suministraron un total de 307.994 alimentos y 69.400 bebidas</w:t>
            </w:r>
          </w:p>
        </w:tc>
      </w:tr>
      <w:tr w:rsidR="00D21665" w:rsidRPr="00F948EE" w:rsidTr="000445F8">
        <w:trPr>
          <w:trHeight w:val="153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7507</w:t>
            </w:r>
          </w:p>
        </w:tc>
        <w:tc>
          <w:tcPr>
            <w:tcW w:w="330" w:type="pct"/>
            <w:tcBorders>
              <w:top w:val="nil"/>
              <w:left w:val="nil"/>
              <w:bottom w:val="nil"/>
              <w:right w:val="nil"/>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p>
        </w:tc>
        <w:tc>
          <w:tcPr>
            <w:tcW w:w="189"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15</w:t>
            </w:r>
          </w:p>
        </w:tc>
        <w:tc>
          <w:tcPr>
            <w:tcW w:w="472"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Adquirir 102.000 elementos y suministro de intendencia para los organismos de seguridad de la ciudad</w:t>
            </w:r>
          </w:p>
        </w:tc>
        <w:tc>
          <w:tcPr>
            <w:tcW w:w="221"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3827</w:t>
            </w:r>
          </w:p>
        </w:tc>
        <w:tc>
          <w:tcPr>
            <w:tcW w:w="566"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            2.238.125.060   </w:t>
            </w:r>
          </w:p>
        </w:tc>
        <w:tc>
          <w:tcPr>
            <w:tcW w:w="254"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3827</w:t>
            </w:r>
          </w:p>
        </w:tc>
        <w:tc>
          <w:tcPr>
            <w:tcW w:w="568"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            2.225.569.060   </w:t>
            </w:r>
          </w:p>
        </w:tc>
        <w:tc>
          <w:tcPr>
            <w:tcW w:w="2213" w:type="pct"/>
            <w:tcBorders>
              <w:top w:val="nil"/>
              <w:left w:val="single" w:sz="4" w:space="0" w:color="auto"/>
              <w:bottom w:val="single" w:sz="4" w:space="0" w:color="auto"/>
              <w:right w:val="single" w:sz="4" w:space="0" w:color="auto"/>
            </w:tcBorders>
            <w:shd w:val="clear" w:color="auto" w:fill="auto"/>
            <w:hideMark/>
          </w:tcPr>
          <w:p w:rsidR="002E0574" w:rsidRPr="00B3694F" w:rsidRDefault="002E0574" w:rsidP="007B005E">
            <w:pPr>
              <w:spacing w:after="0" w:line="240" w:lineRule="auto"/>
              <w:rPr>
                <w:rFonts w:ascii="Arial" w:hAnsi="Arial" w:cs="Arial"/>
                <w:sz w:val="16"/>
                <w:szCs w:val="16"/>
                <w:lang w:eastAsia="es-CO"/>
              </w:rPr>
            </w:pPr>
            <w:r w:rsidRPr="00B3694F">
              <w:rPr>
                <w:rFonts w:ascii="Arial" w:hAnsi="Arial" w:cs="Arial"/>
                <w:sz w:val="16"/>
                <w:szCs w:val="16"/>
                <w:lang w:eastAsia="es-CO"/>
              </w:rPr>
              <w:t>Durante la vigencia 2019 la Secretaría Distrital de Seguridad, Convivencia y Justicia realizó la entrega de 9827 elementos de intendencia para los organismos de seguridad, en donde 5952 fueron a la MEBOG, 3769 a la Brigada XIII y 106 a la fiscalía</w:t>
            </w:r>
          </w:p>
        </w:tc>
      </w:tr>
      <w:tr w:rsidR="00D21665" w:rsidRPr="00F948EE" w:rsidTr="000445F8">
        <w:trPr>
          <w:trHeight w:val="1230"/>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lastRenderedPageBreak/>
              <w:t>7507</w:t>
            </w:r>
          </w:p>
        </w:tc>
        <w:tc>
          <w:tcPr>
            <w:tcW w:w="330" w:type="pct"/>
            <w:tcBorders>
              <w:top w:val="nil"/>
              <w:left w:val="nil"/>
              <w:bottom w:val="nil"/>
              <w:right w:val="nil"/>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17</w:t>
            </w:r>
          </w:p>
        </w:tc>
        <w:tc>
          <w:tcPr>
            <w:tcW w:w="472"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Garantizar  en 20 localidades  el mantenimiento, operación y sostenimiento de los equipamientos de seguridad de la ciudad</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20</w:t>
            </w:r>
          </w:p>
        </w:tc>
        <w:tc>
          <w:tcPr>
            <w:tcW w:w="566"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color w:val="000000"/>
                <w:sz w:val="16"/>
                <w:szCs w:val="16"/>
                <w:lang w:eastAsia="es-CO"/>
              </w:rPr>
            </w:pPr>
            <w:r w:rsidRPr="00B3694F">
              <w:rPr>
                <w:rFonts w:ascii="Arial" w:hAnsi="Arial" w:cs="Arial"/>
                <w:color w:val="000000"/>
                <w:sz w:val="16"/>
                <w:szCs w:val="16"/>
                <w:lang w:eastAsia="es-CO"/>
              </w:rPr>
              <w:t>10.151.738.149</w:t>
            </w: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 xml:space="preserve">20 </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10.146.651.723 </w:t>
            </w:r>
          </w:p>
        </w:tc>
        <w:tc>
          <w:tcPr>
            <w:tcW w:w="2213" w:type="pct"/>
            <w:tcBorders>
              <w:top w:val="single" w:sz="4" w:space="0" w:color="auto"/>
              <w:left w:val="single" w:sz="4" w:space="0" w:color="auto"/>
              <w:bottom w:val="single" w:sz="4" w:space="0" w:color="auto"/>
              <w:right w:val="single" w:sz="4" w:space="0" w:color="auto"/>
            </w:tcBorders>
            <w:shd w:val="clear" w:color="auto" w:fill="auto"/>
            <w:hideMark/>
          </w:tcPr>
          <w:p w:rsidR="002E0574" w:rsidRPr="00B3694F" w:rsidRDefault="002E0574" w:rsidP="007B005E">
            <w:pPr>
              <w:spacing w:after="0" w:line="240" w:lineRule="auto"/>
              <w:rPr>
                <w:rFonts w:ascii="Arial" w:hAnsi="Arial" w:cs="Arial"/>
                <w:sz w:val="16"/>
                <w:szCs w:val="16"/>
                <w:lang w:eastAsia="es-CO"/>
              </w:rPr>
            </w:pPr>
            <w:r w:rsidRPr="00B3694F">
              <w:rPr>
                <w:rFonts w:ascii="Arial" w:hAnsi="Arial" w:cs="Arial"/>
                <w:sz w:val="16"/>
                <w:szCs w:val="16"/>
                <w:lang w:eastAsia="es-CO"/>
              </w:rPr>
              <w:t>Con la ejecución del contrato 182/2016 se intervinieron entre el 2016 y 2017 un total de 69 equipamientos, con el contrato 698/2017 se intervinieron entre 2017 y 2018 un total de 65 equipamientos, con el contrato 713 de 2018 se intervinieron entre 2018 y 2019 un total de 160 equipamientos y actualmente con el contrato 995 de 2019 se han intervenido 31 equipamientos a la fecha</w:t>
            </w:r>
          </w:p>
        </w:tc>
      </w:tr>
      <w:tr w:rsidR="00D21665" w:rsidRPr="00F948EE" w:rsidTr="000445F8">
        <w:trPr>
          <w:trHeight w:val="3538"/>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7507</w:t>
            </w:r>
          </w:p>
        </w:tc>
        <w:tc>
          <w:tcPr>
            <w:tcW w:w="330" w:type="pct"/>
            <w:tcBorders>
              <w:top w:val="nil"/>
              <w:left w:val="nil"/>
              <w:bottom w:val="nil"/>
              <w:right w:val="nil"/>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p>
        </w:tc>
        <w:tc>
          <w:tcPr>
            <w:tcW w:w="189"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18</w:t>
            </w:r>
          </w:p>
        </w:tc>
        <w:tc>
          <w:tcPr>
            <w:tcW w:w="472"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Actualizar y/o renovar 1 sistema de radio troncalizado para el fortalecimiento operacional de los organismos de seguridad</w:t>
            </w:r>
          </w:p>
        </w:tc>
        <w:tc>
          <w:tcPr>
            <w:tcW w:w="221"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w:t>
            </w:r>
          </w:p>
        </w:tc>
        <w:tc>
          <w:tcPr>
            <w:tcW w:w="566"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color w:val="000000"/>
                <w:sz w:val="16"/>
                <w:szCs w:val="16"/>
                <w:lang w:eastAsia="es-CO"/>
              </w:rPr>
            </w:pPr>
            <w:r w:rsidRPr="00B3694F">
              <w:rPr>
                <w:rFonts w:ascii="Arial" w:hAnsi="Arial" w:cs="Arial"/>
                <w:color w:val="000000"/>
                <w:sz w:val="16"/>
                <w:szCs w:val="16"/>
                <w:lang w:eastAsia="es-CO"/>
              </w:rPr>
              <w:t>29.532.537.669</w:t>
            </w:r>
          </w:p>
        </w:tc>
        <w:tc>
          <w:tcPr>
            <w:tcW w:w="254"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w:t>
            </w:r>
          </w:p>
        </w:tc>
        <w:tc>
          <w:tcPr>
            <w:tcW w:w="568"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29.532.537.669 </w:t>
            </w:r>
          </w:p>
        </w:tc>
        <w:tc>
          <w:tcPr>
            <w:tcW w:w="2213" w:type="pct"/>
            <w:tcBorders>
              <w:top w:val="nil"/>
              <w:left w:val="single" w:sz="4" w:space="0" w:color="auto"/>
              <w:bottom w:val="single" w:sz="4" w:space="0" w:color="auto"/>
              <w:right w:val="single" w:sz="4" w:space="0" w:color="auto"/>
            </w:tcBorders>
            <w:shd w:val="clear" w:color="auto" w:fill="auto"/>
            <w:hideMark/>
          </w:tcPr>
          <w:p w:rsidR="002E0574" w:rsidRPr="00B3694F" w:rsidRDefault="002E0574" w:rsidP="007B005E">
            <w:pPr>
              <w:spacing w:after="0" w:line="240" w:lineRule="auto"/>
              <w:rPr>
                <w:rFonts w:ascii="Arial" w:hAnsi="Arial" w:cs="Arial"/>
                <w:sz w:val="16"/>
                <w:szCs w:val="16"/>
                <w:lang w:eastAsia="es-CO"/>
              </w:rPr>
            </w:pPr>
            <w:r w:rsidRPr="00B3694F">
              <w:rPr>
                <w:rFonts w:ascii="Arial" w:hAnsi="Arial" w:cs="Arial"/>
                <w:sz w:val="16"/>
                <w:szCs w:val="16"/>
                <w:lang w:eastAsia="es-CO"/>
              </w:rPr>
              <w:t>En la actualidad la SDSCJ cuenta con un sistema de radiocomunicaciones de versión 7.17 versión que fue adquirida en la vigencia 2017 en el contrato 461 de 2017, el cual establece las comunicaciones de radio de la MEBOG y las agencias de emergencias y operaciones de la ciudad que conforman el C4.</w:t>
            </w:r>
            <w:r w:rsidRPr="00B3694F">
              <w:rPr>
                <w:rFonts w:ascii="Arial" w:hAnsi="Arial" w:cs="Arial"/>
                <w:sz w:val="16"/>
                <w:szCs w:val="16"/>
                <w:lang w:eastAsia="es-CO"/>
              </w:rPr>
              <w:br/>
            </w:r>
            <w:r w:rsidRPr="00B3694F">
              <w:rPr>
                <w:rFonts w:ascii="Arial" w:hAnsi="Arial" w:cs="Arial"/>
                <w:sz w:val="16"/>
                <w:szCs w:val="16"/>
                <w:lang w:eastAsia="es-CO"/>
              </w:rPr>
              <w:br/>
              <w:t xml:space="preserve">Actualmente la MEBOG dentro de su actividad cuenta con 4925 suscriptores o radios portátiles, 5 sitios de repetición físicos y 9 lógicos ubicados en: Cerro El Cable, Cerro Suba, Cerro Cruz Verde, Grumo y Sierra Morena, 168 canales de comunicación, 68 consolas de despacho en total, 42 consolas localizadas en el CAD de la MEBOG y 4 del IDIGER, 3 sitios remotos con 26 consolas para Bomberos, Movilidad y CRUE. Esta infraestructura se enlaza con el sitio maestro de la SDSCJ ubicado en las instalaciones de la Policía Nacional - Comando Central; la administración se realiza desde el Centro de Mantenimiento y Operaciones del Sistema de Radio Troncalizado – CMO, desde el cual se gestiona y administra este sistema. </w:t>
            </w:r>
            <w:r w:rsidRPr="00B3694F">
              <w:rPr>
                <w:rFonts w:ascii="Arial" w:hAnsi="Arial" w:cs="Arial"/>
                <w:sz w:val="16"/>
                <w:szCs w:val="16"/>
                <w:lang w:eastAsia="es-CO"/>
              </w:rPr>
              <w:br/>
            </w:r>
            <w:r w:rsidRPr="00B3694F">
              <w:rPr>
                <w:rFonts w:ascii="Arial" w:hAnsi="Arial" w:cs="Arial"/>
                <w:sz w:val="16"/>
                <w:szCs w:val="16"/>
                <w:lang w:eastAsia="es-CO"/>
              </w:rPr>
              <w:br/>
              <w:t>Cabe aclarar que el Sistema de Radio Troncalizado del Distrito funciona con encripción embebida por software y funcionalidades exclusivas que fundamentan el Sistema de Radio Troncalizado “ASTRO 25 IP” que es fabricado únicamente por la compañía Motorola el cual cuenta con el certificado mediante registro de marca número 264514.</w:t>
            </w:r>
          </w:p>
        </w:tc>
      </w:tr>
      <w:tr w:rsidR="00D21665" w:rsidRPr="00F948EE" w:rsidTr="000445F8">
        <w:trPr>
          <w:trHeight w:val="561"/>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7507</w:t>
            </w:r>
          </w:p>
        </w:tc>
        <w:tc>
          <w:tcPr>
            <w:tcW w:w="330" w:type="pct"/>
            <w:tcBorders>
              <w:top w:val="nil"/>
              <w:left w:val="nil"/>
              <w:bottom w:val="nil"/>
              <w:right w:val="nil"/>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p>
        </w:tc>
        <w:tc>
          <w:tcPr>
            <w:tcW w:w="189"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20</w:t>
            </w:r>
          </w:p>
        </w:tc>
        <w:tc>
          <w:tcPr>
            <w:tcW w:w="472"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Atender el 100% la conectividad del servicio de voz y datos de los organismos de seguridad, defensa y justicia</w:t>
            </w:r>
          </w:p>
        </w:tc>
        <w:tc>
          <w:tcPr>
            <w:tcW w:w="221"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100%</w:t>
            </w:r>
          </w:p>
        </w:tc>
        <w:tc>
          <w:tcPr>
            <w:tcW w:w="566"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color w:val="000000"/>
                <w:sz w:val="16"/>
                <w:szCs w:val="16"/>
                <w:lang w:eastAsia="es-CO"/>
              </w:rPr>
            </w:pPr>
            <w:r w:rsidRPr="00B3694F">
              <w:rPr>
                <w:rFonts w:ascii="Arial" w:hAnsi="Arial" w:cs="Arial"/>
                <w:color w:val="000000"/>
                <w:sz w:val="16"/>
                <w:szCs w:val="16"/>
                <w:lang w:eastAsia="es-CO"/>
              </w:rPr>
              <w:t>2.325.982.656</w:t>
            </w:r>
          </w:p>
        </w:tc>
        <w:tc>
          <w:tcPr>
            <w:tcW w:w="254"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100%</w:t>
            </w:r>
          </w:p>
        </w:tc>
        <w:tc>
          <w:tcPr>
            <w:tcW w:w="568"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2.317.450.734 </w:t>
            </w:r>
          </w:p>
        </w:tc>
        <w:tc>
          <w:tcPr>
            <w:tcW w:w="2213" w:type="pct"/>
            <w:tcBorders>
              <w:top w:val="nil"/>
              <w:left w:val="single" w:sz="4" w:space="0" w:color="auto"/>
              <w:bottom w:val="single" w:sz="4" w:space="0" w:color="auto"/>
              <w:right w:val="single" w:sz="4" w:space="0" w:color="auto"/>
            </w:tcBorders>
            <w:shd w:val="clear" w:color="auto" w:fill="auto"/>
            <w:hideMark/>
          </w:tcPr>
          <w:p w:rsidR="002E0574" w:rsidRPr="00B3694F" w:rsidRDefault="002E0574" w:rsidP="007B005E">
            <w:pPr>
              <w:spacing w:after="0" w:line="240" w:lineRule="auto"/>
              <w:rPr>
                <w:rFonts w:ascii="Arial" w:hAnsi="Arial" w:cs="Arial"/>
                <w:sz w:val="16"/>
                <w:szCs w:val="16"/>
                <w:lang w:eastAsia="es-CO"/>
              </w:rPr>
            </w:pPr>
            <w:r w:rsidRPr="00B3694F">
              <w:rPr>
                <w:rFonts w:ascii="Arial" w:hAnsi="Arial" w:cs="Arial"/>
                <w:sz w:val="16"/>
                <w:szCs w:val="16"/>
                <w:lang w:eastAsia="es-CO"/>
              </w:rPr>
              <w:t>La transmisión del video generado por los puntos de video vigilancia, a los centros de monitoreo o donde requiera ser visualizado por la MEBOG, debe ser llevada a cabo a través de una red de fibra óptica MPLS con alta disponibilidad para un sistema concebido como de “misión crítica”, con una arquitectura centralizada para la plataforma de gestión y almacenamiento y una arquitectura distribuida a nivel de monitoreo y visualización.</w:t>
            </w:r>
            <w:r w:rsidRPr="00B3694F">
              <w:rPr>
                <w:rFonts w:ascii="Arial" w:hAnsi="Arial" w:cs="Arial"/>
                <w:sz w:val="16"/>
                <w:szCs w:val="16"/>
                <w:lang w:eastAsia="es-CO"/>
              </w:rPr>
              <w:br/>
            </w:r>
            <w:r w:rsidRPr="00B3694F">
              <w:rPr>
                <w:rFonts w:ascii="Arial" w:hAnsi="Arial" w:cs="Arial"/>
                <w:sz w:val="16"/>
                <w:szCs w:val="16"/>
                <w:lang w:eastAsia="es-CO"/>
              </w:rPr>
              <w:br/>
              <w:t xml:space="preserve">Actualmente, ETB S.A. E S.P. cuenta con una capacidad instalada de enlaces de fibra óptica para la conectividad del sistema de video vigilancia del Distrito Capital, en virtud de los contratos No.114 de 2016, 595 de 2017 y 1021 de 2018 y hoy el contrato No. 914 de </w:t>
            </w:r>
            <w:r w:rsidRPr="00B3694F">
              <w:rPr>
                <w:rFonts w:ascii="Arial" w:hAnsi="Arial" w:cs="Arial"/>
                <w:sz w:val="16"/>
                <w:szCs w:val="16"/>
                <w:lang w:eastAsia="es-CO"/>
              </w:rPr>
              <w:lastRenderedPageBreak/>
              <w:t>2019, celebrado con la Secretaría Distrital de Seguridad, Convivencia y Justicia.</w:t>
            </w:r>
            <w:r w:rsidRPr="00B3694F">
              <w:rPr>
                <w:rFonts w:ascii="Arial" w:hAnsi="Arial" w:cs="Arial"/>
                <w:sz w:val="16"/>
                <w:szCs w:val="16"/>
                <w:lang w:eastAsia="es-CO"/>
              </w:rPr>
              <w:br/>
            </w:r>
            <w:r w:rsidRPr="00B3694F">
              <w:rPr>
                <w:rFonts w:ascii="Arial" w:hAnsi="Arial" w:cs="Arial"/>
                <w:sz w:val="16"/>
                <w:szCs w:val="16"/>
                <w:lang w:eastAsia="es-CO"/>
              </w:rPr>
              <w:br/>
              <w:t>La extensa red de fibra óptica de ETB, complementada con los accesos vía radio enlace de última milla para las zonas rurales y/o apartadas del distrito, permite llegar a cada punto de video vigilancia que la SDSCJ y la MEBOG requiera, sin limitaciones. Del mismo modo, el video generado por cualquier punto de video vigilancia puede ser visualizado donde la MEBOG requiera para sus PMU, gracias a la red MPLS de ETB en virtud de sus obligaciones contractuales establecidas en el contrato 914 de 2019.</w:t>
            </w:r>
            <w:r w:rsidRPr="00B3694F">
              <w:rPr>
                <w:rFonts w:ascii="Arial" w:hAnsi="Arial" w:cs="Arial"/>
                <w:sz w:val="16"/>
                <w:szCs w:val="16"/>
                <w:lang w:eastAsia="es-CO"/>
              </w:rPr>
              <w:br/>
            </w:r>
            <w:r w:rsidRPr="00B3694F">
              <w:rPr>
                <w:rFonts w:ascii="Arial" w:hAnsi="Arial" w:cs="Arial"/>
                <w:sz w:val="16"/>
                <w:szCs w:val="16"/>
                <w:lang w:eastAsia="es-CO"/>
              </w:rPr>
              <w:br/>
              <w:t>Adicionalmente, ETB S.A. E.S.P tiene aprovisionados servicios de conectividad en las distintas ubicaciones de la MEBOG como CAI, Estaciones de Policía, Fuertes, URI de la SIJIN, Casas de Justicia y demás; consideradas como la Red WAN de la MEBOG.</w:t>
            </w:r>
            <w:r w:rsidRPr="00B3694F">
              <w:rPr>
                <w:rFonts w:ascii="Arial" w:hAnsi="Arial" w:cs="Arial"/>
                <w:sz w:val="16"/>
                <w:szCs w:val="16"/>
                <w:lang w:eastAsia="es-CO"/>
              </w:rPr>
              <w:br/>
            </w:r>
            <w:r w:rsidRPr="00B3694F">
              <w:rPr>
                <w:rFonts w:ascii="Arial" w:hAnsi="Arial" w:cs="Arial"/>
                <w:sz w:val="16"/>
                <w:szCs w:val="16"/>
                <w:lang w:eastAsia="es-CO"/>
              </w:rPr>
              <w:br/>
              <w:t>Las capacidades instaladas tanto para el sistema de video vigilancia del distrito, como para la red WAN de la MEBOG, han permitido la atención al ciudadano, recepción de denuncias y contravenciones, así como el monitoreo y operación del sistema de videovigilancia instalado en lugares neurálgicos de la ciudad, y en general, la prestación del servicio policial, empleando herramientas y equipos que contribuyen a la convivencia y seguridad ciudadana del Distrito Capital, cuyas tecnologías han requerido la prestación óptima del servicio de conectividad y soporte técnico oportuno por parte de ETB S.A. E.S.P.</w:t>
            </w:r>
          </w:p>
        </w:tc>
      </w:tr>
      <w:tr w:rsidR="00D21665" w:rsidRPr="00F948EE" w:rsidTr="000445F8">
        <w:trPr>
          <w:trHeight w:val="153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lastRenderedPageBreak/>
              <w:t>7507</w:t>
            </w:r>
          </w:p>
        </w:tc>
        <w:tc>
          <w:tcPr>
            <w:tcW w:w="330" w:type="pct"/>
            <w:tcBorders>
              <w:top w:val="nil"/>
              <w:left w:val="nil"/>
              <w:bottom w:val="nil"/>
              <w:right w:val="nil"/>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p>
        </w:tc>
        <w:tc>
          <w:tcPr>
            <w:tcW w:w="189"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21</w:t>
            </w:r>
          </w:p>
        </w:tc>
        <w:tc>
          <w:tcPr>
            <w:tcW w:w="472"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Capacitar 2000 policías  en temáticas de convivencia y seguridad según énfasis del plan de desarrollo distrital</w:t>
            </w:r>
          </w:p>
        </w:tc>
        <w:tc>
          <w:tcPr>
            <w:tcW w:w="221"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847</w:t>
            </w:r>
          </w:p>
        </w:tc>
        <w:tc>
          <w:tcPr>
            <w:tcW w:w="566"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color w:val="000000"/>
                <w:sz w:val="16"/>
                <w:szCs w:val="16"/>
                <w:lang w:eastAsia="es-CO"/>
              </w:rPr>
            </w:pPr>
            <w:r w:rsidRPr="00B3694F">
              <w:rPr>
                <w:rFonts w:ascii="Arial" w:hAnsi="Arial" w:cs="Arial"/>
                <w:color w:val="000000"/>
                <w:sz w:val="16"/>
                <w:szCs w:val="16"/>
                <w:lang w:eastAsia="es-CO"/>
              </w:rPr>
              <w:t>62.763.400</w:t>
            </w:r>
          </w:p>
        </w:tc>
        <w:tc>
          <w:tcPr>
            <w:tcW w:w="254"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 xml:space="preserve">569 </w:t>
            </w:r>
          </w:p>
        </w:tc>
        <w:tc>
          <w:tcPr>
            <w:tcW w:w="568"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62.763.400 </w:t>
            </w:r>
          </w:p>
        </w:tc>
        <w:tc>
          <w:tcPr>
            <w:tcW w:w="2213" w:type="pct"/>
            <w:tcBorders>
              <w:top w:val="nil"/>
              <w:left w:val="single" w:sz="4" w:space="0" w:color="auto"/>
              <w:bottom w:val="single" w:sz="4" w:space="0" w:color="auto"/>
              <w:right w:val="single" w:sz="4" w:space="0" w:color="auto"/>
            </w:tcBorders>
            <w:shd w:val="clear" w:color="auto" w:fill="auto"/>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Se capacitaron  569 policías en   temáticas de convivencia y seguridad según énfasis del plan de desarrollo distrital</w:t>
            </w:r>
          </w:p>
        </w:tc>
      </w:tr>
      <w:tr w:rsidR="00D21665" w:rsidRPr="00F948EE" w:rsidTr="000445F8">
        <w:trPr>
          <w:trHeight w:val="153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7507</w:t>
            </w:r>
          </w:p>
        </w:tc>
        <w:tc>
          <w:tcPr>
            <w:tcW w:w="330" w:type="pct"/>
            <w:tcBorders>
              <w:top w:val="nil"/>
              <w:left w:val="nil"/>
              <w:bottom w:val="nil"/>
              <w:right w:val="nil"/>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p>
        </w:tc>
        <w:tc>
          <w:tcPr>
            <w:tcW w:w="189"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23</w:t>
            </w:r>
          </w:p>
        </w:tc>
        <w:tc>
          <w:tcPr>
            <w:tcW w:w="472"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Ejecutar 1 Plan de beneficios y apoyo logístico dirigido a los integrantes de la fuerza pública adscritos a la ciudad de Bogotá</w:t>
            </w:r>
          </w:p>
        </w:tc>
        <w:tc>
          <w:tcPr>
            <w:tcW w:w="221"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w:t>
            </w:r>
          </w:p>
        </w:tc>
        <w:tc>
          <w:tcPr>
            <w:tcW w:w="566"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color w:val="000000"/>
                <w:sz w:val="16"/>
                <w:szCs w:val="16"/>
                <w:lang w:eastAsia="es-CO"/>
              </w:rPr>
            </w:pPr>
            <w:r w:rsidRPr="00B3694F">
              <w:rPr>
                <w:rFonts w:ascii="Arial" w:hAnsi="Arial" w:cs="Arial"/>
                <w:color w:val="000000"/>
                <w:sz w:val="16"/>
                <w:szCs w:val="16"/>
                <w:lang w:eastAsia="es-CO"/>
              </w:rPr>
              <w:t>2.649.976.540</w:t>
            </w:r>
          </w:p>
        </w:tc>
        <w:tc>
          <w:tcPr>
            <w:tcW w:w="254"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w:t>
            </w:r>
          </w:p>
        </w:tc>
        <w:tc>
          <w:tcPr>
            <w:tcW w:w="568"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2.638.463.290 </w:t>
            </w:r>
          </w:p>
        </w:tc>
        <w:tc>
          <w:tcPr>
            <w:tcW w:w="2213" w:type="pct"/>
            <w:tcBorders>
              <w:top w:val="nil"/>
              <w:left w:val="single" w:sz="4" w:space="0" w:color="auto"/>
              <w:bottom w:val="single" w:sz="4" w:space="0" w:color="auto"/>
              <w:right w:val="single" w:sz="4" w:space="0" w:color="auto"/>
            </w:tcBorders>
            <w:shd w:val="clear" w:color="auto" w:fill="auto"/>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Se ejecutó un  Plan de beneficios y apoyo logístico dirigido a los integrantes de la fuerza pública adscritos a la ciudad de Bogotá</w:t>
            </w:r>
          </w:p>
        </w:tc>
      </w:tr>
      <w:tr w:rsidR="00D21665" w:rsidRPr="00F948EE" w:rsidTr="000445F8">
        <w:trPr>
          <w:trHeight w:val="153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lastRenderedPageBreak/>
              <w:t>7507</w:t>
            </w:r>
          </w:p>
        </w:tc>
        <w:tc>
          <w:tcPr>
            <w:tcW w:w="330" w:type="pct"/>
            <w:tcBorders>
              <w:top w:val="nil"/>
              <w:left w:val="nil"/>
              <w:bottom w:val="nil"/>
              <w:right w:val="nil"/>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p>
        </w:tc>
        <w:tc>
          <w:tcPr>
            <w:tcW w:w="189"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24</w:t>
            </w:r>
          </w:p>
        </w:tc>
        <w:tc>
          <w:tcPr>
            <w:tcW w:w="472"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 xml:space="preserve">Mantener el 100% de los equipos de </w:t>
            </w:r>
            <w:r w:rsidR="00D02B3D" w:rsidRPr="00B3694F">
              <w:rPr>
                <w:rFonts w:ascii="Arial" w:hAnsi="Arial" w:cs="Arial"/>
                <w:sz w:val="16"/>
                <w:szCs w:val="16"/>
                <w:lang w:eastAsia="es-CO"/>
              </w:rPr>
              <w:t>cómputo</w:t>
            </w:r>
            <w:r w:rsidRPr="00B3694F">
              <w:rPr>
                <w:rFonts w:ascii="Arial" w:hAnsi="Arial" w:cs="Arial"/>
                <w:sz w:val="16"/>
                <w:szCs w:val="16"/>
                <w:lang w:eastAsia="es-CO"/>
              </w:rPr>
              <w:t xml:space="preserve"> y sistemas de respaldo </w:t>
            </w:r>
            <w:r w:rsidR="00D02B3D" w:rsidRPr="00B3694F">
              <w:rPr>
                <w:rFonts w:ascii="Arial" w:hAnsi="Arial" w:cs="Arial"/>
                <w:sz w:val="16"/>
                <w:szCs w:val="16"/>
                <w:lang w:eastAsia="es-CO"/>
              </w:rPr>
              <w:t>eléctrico</w:t>
            </w:r>
            <w:r w:rsidRPr="00B3694F">
              <w:rPr>
                <w:rFonts w:ascii="Arial" w:hAnsi="Arial" w:cs="Arial"/>
                <w:sz w:val="16"/>
                <w:szCs w:val="16"/>
                <w:lang w:eastAsia="es-CO"/>
              </w:rPr>
              <w:t xml:space="preserve"> de los organismos de seguridad.</w:t>
            </w:r>
          </w:p>
        </w:tc>
        <w:tc>
          <w:tcPr>
            <w:tcW w:w="221"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100%</w:t>
            </w:r>
          </w:p>
        </w:tc>
        <w:tc>
          <w:tcPr>
            <w:tcW w:w="566"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color w:val="000000"/>
                <w:sz w:val="16"/>
                <w:szCs w:val="16"/>
                <w:lang w:eastAsia="es-CO"/>
              </w:rPr>
            </w:pPr>
            <w:r w:rsidRPr="00B3694F">
              <w:rPr>
                <w:rFonts w:ascii="Arial" w:hAnsi="Arial" w:cs="Arial"/>
                <w:color w:val="000000"/>
                <w:sz w:val="16"/>
                <w:szCs w:val="16"/>
                <w:lang w:eastAsia="es-CO"/>
              </w:rPr>
              <w:t>713.142.240</w:t>
            </w:r>
          </w:p>
        </w:tc>
        <w:tc>
          <w:tcPr>
            <w:tcW w:w="254"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100%</w:t>
            </w:r>
          </w:p>
        </w:tc>
        <w:tc>
          <w:tcPr>
            <w:tcW w:w="568"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713.142.240 </w:t>
            </w:r>
          </w:p>
        </w:tc>
        <w:tc>
          <w:tcPr>
            <w:tcW w:w="2213" w:type="pct"/>
            <w:tcBorders>
              <w:top w:val="nil"/>
              <w:left w:val="single" w:sz="4" w:space="0" w:color="auto"/>
              <w:bottom w:val="single" w:sz="4" w:space="0" w:color="auto"/>
              <w:right w:val="single" w:sz="4" w:space="0" w:color="auto"/>
            </w:tcBorders>
            <w:shd w:val="clear" w:color="auto" w:fill="auto"/>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Se efectuó mantenimiento al 100% de los equipos de cómputo y sistemas de respaldo eléctrico de los organismos de seguridad.</w:t>
            </w:r>
          </w:p>
        </w:tc>
      </w:tr>
      <w:tr w:rsidR="00D21665" w:rsidRPr="00F948EE" w:rsidTr="000445F8">
        <w:trPr>
          <w:trHeight w:val="1530"/>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7507</w:t>
            </w:r>
          </w:p>
        </w:tc>
        <w:tc>
          <w:tcPr>
            <w:tcW w:w="330" w:type="pct"/>
            <w:tcBorders>
              <w:top w:val="nil"/>
              <w:left w:val="nil"/>
              <w:bottom w:val="single" w:sz="4" w:space="0" w:color="auto"/>
              <w:right w:val="nil"/>
            </w:tcBorders>
            <w:shd w:val="clear" w:color="auto" w:fill="auto"/>
            <w:vAlign w:val="center"/>
            <w:hideMark/>
          </w:tcPr>
          <w:p w:rsidR="002E0574" w:rsidRPr="00B3694F" w:rsidRDefault="002E0574" w:rsidP="007B005E">
            <w:pPr>
              <w:spacing w:after="0" w:line="240" w:lineRule="auto"/>
              <w:rPr>
                <w:rFonts w:ascii="Arial" w:hAnsi="Arial" w:cs="Arial"/>
                <w:sz w:val="16"/>
                <w:szCs w:val="16"/>
                <w:lang w:eastAsia="es-CO"/>
              </w:rPr>
            </w:pPr>
            <w:r w:rsidRPr="00B3694F">
              <w:rPr>
                <w:rFonts w:ascii="Arial" w:hAnsi="Arial" w:cs="Arial"/>
                <w:sz w:val="16"/>
                <w:szCs w:val="16"/>
                <w:lang w:eastAsia="es-CO"/>
              </w:rPr>
              <w:t> </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26</w:t>
            </w:r>
          </w:p>
        </w:tc>
        <w:tc>
          <w:tcPr>
            <w:tcW w:w="472"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Garantizar el 100% la dotación de mobiliario para los equipamientos de seguridad y defensa</w:t>
            </w:r>
          </w:p>
        </w:tc>
        <w:tc>
          <w:tcPr>
            <w:tcW w:w="2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100%</w:t>
            </w:r>
          </w:p>
        </w:tc>
        <w:tc>
          <w:tcPr>
            <w:tcW w:w="566"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color w:val="000000"/>
                <w:sz w:val="16"/>
                <w:szCs w:val="16"/>
                <w:lang w:eastAsia="es-CO"/>
              </w:rPr>
            </w:pPr>
            <w:r w:rsidRPr="00B3694F">
              <w:rPr>
                <w:rFonts w:ascii="Arial" w:hAnsi="Arial" w:cs="Arial"/>
                <w:color w:val="000000"/>
                <w:sz w:val="16"/>
                <w:szCs w:val="16"/>
                <w:lang w:eastAsia="es-CO"/>
              </w:rPr>
              <w:t>636.856.167</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100%</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636.856.167 </w:t>
            </w:r>
          </w:p>
        </w:tc>
        <w:tc>
          <w:tcPr>
            <w:tcW w:w="2213" w:type="pct"/>
            <w:tcBorders>
              <w:top w:val="single" w:sz="4" w:space="0" w:color="auto"/>
              <w:left w:val="single" w:sz="4" w:space="0" w:color="auto"/>
              <w:bottom w:val="single" w:sz="4" w:space="0" w:color="auto"/>
              <w:right w:val="single" w:sz="4" w:space="0" w:color="auto"/>
            </w:tcBorders>
            <w:shd w:val="clear" w:color="auto" w:fill="auto"/>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Durante la vigencia del 2019, la Secretaría Distrital de Seguridad, Convivencia y Justicia a través del contrato 1104 del 2019, adquirió 2,435 muebles clasificados en 1586 sillas, 500 catre metálicos, 30 mesas plegables,46 escritorios con cajonera metálica, 3 salas de juntas y folderama plegable. En donde es importante aclarar que este mobiliario se recibirá durante el primer trimestre de la vigencia 2020</w:t>
            </w:r>
          </w:p>
        </w:tc>
      </w:tr>
      <w:tr w:rsidR="00D21665" w:rsidRPr="00F948EE" w:rsidTr="000445F8">
        <w:trPr>
          <w:trHeight w:val="2400"/>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7512</w:t>
            </w:r>
          </w:p>
        </w:tc>
        <w:tc>
          <w:tcPr>
            <w:tcW w:w="330" w:type="pct"/>
            <w:tcBorders>
              <w:top w:val="nil"/>
              <w:left w:val="nil"/>
              <w:bottom w:val="nil"/>
              <w:right w:val="nil"/>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6</w:t>
            </w:r>
          </w:p>
        </w:tc>
        <w:tc>
          <w:tcPr>
            <w:tcW w:w="472"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595F2B">
            <w:pPr>
              <w:spacing w:after="0" w:line="240" w:lineRule="auto"/>
              <w:jc w:val="both"/>
              <w:rPr>
                <w:rFonts w:ascii="Arial" w:hAnsi="Arial" w:cs="Arial"/>
                <w:sz w:val="16"/>
                <w:szCs w:val="16"/>
                <w:lang w:eastAsia="es-CO"/>
              </w:rPr>
            </w:pPr>
            <w:r w:rsidRPr="00B3694F">
              <w:rPr>
                <w:rFonts w:ascii="Arial" w:hAnsi="Arial" w:cs="Arial"/>
                <w:sz w:val="16"/>
                <w:szCs w:val="16"/>
                <w:lang w:eastAsia="es-CO"/>
              </w:rPr>
              <w:t>Implementar 100% una estrategia de mejoramiento  percepción de seguridad y  aumento de la corresponsabilidad ciudadana  a través fortalecimiento consejos locales de seguridad, frentes locales y juntas zonales</w:t>
            </w:r>
            <w:r w:rsidRPr="00B3694F">
              <w:rPr>
                <w:rFonts w:ascii="Arial" w:hAnsi="Arial" w:cs="Arial"/>
                <w:b/>
                <w:bCs/>
                <w:color w:val="FFFFFF"/>
                <w:sz w:val="16"/>
                <w:szCs w:val="16"/>
                <w:lang w:eastAsia="es-CO"/>
              </w:rPr>
              <w:t xml:space="preserve">UE PARTIR DEL 2019 SE RELACIONARA EN LA META PLAN 110) </w:t>
            </w:r>
          </w:p>
        </w:tc>
        <w:tc>
          <w:tcPr>
            <w:tcW w:w="2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35%</w:t>
            </w:r>
          </w:p>
        </w:tc>
        <w:tc>
          <w:tcPr>
            <w:tcW w:w="566"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3.120.824.735 </w:t>
            </w: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33,10%</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3.017.824.735 </w:t>
            </w:r>
          </w:p>
        </w:tc>
        <w:tc>
          <w:tcPr>
            <w:tcW w:w="2213" w:type="pct"/>
            <w:tcBorders>
              <w:top w:val="single" w:sz="4" w:space="0" w:color="auto"/>
              <w:left w:val="single" w:sz="4" w:space="0" w:color="auto"/>
              <w:bottom w:val="single" w:sz="4" w:space="0" w:color="auto"/>
              <w:right w:val="single" w:sz="4" w:space="0" w:color="auto"/>
            </w:tcBorders>
            <w:shd w:val="clear" w:color="auto" w:fill="auto"/>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b/>
                <w:bCs/>
                <w:sz w:val="16"/>
                <w:szCs w:val="16"/>
                <w:lang w:eastAsia="es-CO"/>
              </w:rPr>
              <w:t>Participación Ciudadana:</w:t>
            </w:r>
            <w:r w:rsidRPr="00B3694F">
              <w:rPr>
                <w:rFonts w:ascii="Arial" w:hAnsi="Arial" w:cs="Arial"/>
                <w:sz w:val="16"/>
                <w:szCs w:val="16"/>
                <w:lang w:eastAsia="es-CO"/>
              </w:rPr>
              <w:t xml:space="preserve"> Durante el 2019, las actividades realizadas fueron: Actualizar el plan de acción de las instancias de participación, incluyendo mínimo una actividad comunitaria y una de control: 2750; Implementar el plan de acción de las instancias de participación, con dos actividades.: 2659; Implementar la actividad comunitaria acordada con la IP en el plan de acción: 1284; Implementar la actividad de control acordada con la IP en el plan de acción: 1274; Boletín/infografía de resultados de la SSCJ por localidad: 19; Hacer seguimiento a las actividades de los estímulos en el marco de la Beca "Murales Para la Convivencia": 206; Hacer seguimiento a las actividades de los estímulos en el marco de la Beca "Iniciativas Culturales para la Convivencia 2019 Parques Para Todos": 321; Hacer seguimiento a las actividades de los estímulos en el marco de la Beca "Iniciativas Culturales para la Convivencia": 0; Realizar Juntas Zonales de seguridad: 110. </w:t>
            </w:r>
            <w:r w:rsidRPr="00B3694F">
              <w:rPr>
                <w:rFonts w:ascii="Arial" w:hAnsi="Arial" w:cs="Arial"/>
                <w:b/>
                <w:bCs/>
                <w:sz w:val="16"/>
                <w:szCs w:val="16"/>
                <w:lang w:eastAsia="es-CO"/>
              </w:rPr>
              <w:t>Mejor Policía:</w:t>
            </w:r>
            <w:r w:rsidRPr="00B3694F">
              <w:rPr>
                <w:rFonts w:ascii="Arial" w:hAnsi="Arial" w:cs="Arial"/>
                <w:sz w:val="16"/>
                <w:szCs w:val="16"/>
                <w:lang w:eastAsia="es-CO"/>
              </w:rPr>
              <w:t xml:space="preserve"> Durante la vigencia se adelantaron las siguientes acciones: Comité Civil de Convivencia Local Decreto 562/2017: 179; Participación en la mesa técnica de derechos humanos y policía que hace parte del Comité Distrital Civil de Convivencia.: 11; Reporte de policías entrenados en el marco de la estrategia.: 6187</w:t>
            </w:r>
          </w:p>
        </w:tc>
      </w:tr>
      <w:tr w:rsidR="00D21665" w:rsidRPr="00F948EE" w:rsidTr="000445F8">
        <w:trPr>
          <w:trHeight w:val="4815"/>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lastRenderedPageBreak/>
              <w:t>7512</w:t>
            </w:r>
          </w:p>
        </w:tc>
        <w:tc>
          <w:tcPr>
            <w:tcW w:w="330" w:type="pct"/>
            <w:tcBorders>
              <w:top w:val="nil"/>
              <w:left w:val="nil"/>
              <w:bottom w:val="nil"/>
              <w:right w:val="nil"/>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4</w:t>
            </w:r>
          </w:p>
        </w:tc>
        <w:tc>
          <w:tcPr>
            <w:tcW w:w="472"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Implementar 100% una estrategia de prevención del delito a través de intervenciones sociales y situacionales  y la promoción de la cultura ciudadana, en el marco del PISCJ</w:t>
            </w:r>
          </w:p>
        </w:tc>
        <w:tc>
          <w:tcPr>
            <w:tcW w:w="2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35%</w:t>
            </w:r>
          </w:p>
        </w:tc>
        <w:tc>
          <w:tcPr>
            <w:tcW w:w="566"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color w:val="000000"/>
                <w:sz w:val="16"/>
                <w:szCs w:val="16"/>
                <w:lang w:eastAsia="es-CO"/>
              </w:rPr>
            </w:pPr>
            <w:r w:rsidRPr="00B3694F">
              <w:rPr>
                <w:rFonts w:ascii="Arial" w:hAnsi="Arial" w:cs="Arial"/>
                <w:color w:val="000000"/>
                <w:sz w:val="16"/>
                <w:szCs w:val="16"/>
                <w:lang w:eastAsia="es-CO"/>
              </w:rPr>
              <w:t>8.933.875.990</w:t>
            </w: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33,7%</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color w:val="000000"/>
                <w:sz w:val="16"/>
                <w:szCs w:val="16"/>
                <w:lang w:eastAsia="es-CO"/>
              </w:rPr>
            </w:pPr>
            <w:r w:rsidRPr="00B3694F">
              <w:rPr>
                <w:rFonts w:ascii="Arial" w:hAnsi="Arial" w:cs="Arial"/>
                <w:color w:val="000000"/>
                <w:sz w:val="16"/>
                <w:szCs w:val="16"/>
                <w:lang w:eastAsia="es-CO"/>
              </w:rPr>
              <w:t>8.847.357.464</w:t>
            </w:r>
          </w:p>
        </w:tc>
        <w:tc>
          <w:tcPr>
            <w:tcW w:w="2213" w:type="pct"/>
            <w:tcBorders>
              <w:top w:val="single" w:sz="4" w:space="0" w:color="auto"/>
              <w:left w:val="single" w:sz="4" w:space="0" w:color="auto"/>
              <w:bottom w:val="single" w:sz="4" w:space="0" w:color="auto"/>
              <w:right w:val="single" w:sz="4" w:space="0" w:color="auto"/>
            </w:tcBorders>
            <w:shd w:val="clear" w:color="auto" w:fill="auto"/>
            <w:hideMark/>
          </w:tcPr>
          <w:p w:rsidR="002E0574" w:rsidRPr="00B3694F" w:rsidRDefault="002E0574" w:rsidP="007B005E">
            <w:pPr>
              <w:spacing w:after="0" w:line="240" w:lineRule="auto"/>
              <w:rPr>
                <w:rFonts w:ascii="Arial" w:hAnsi="Arial" w:cs="Arial"/>
                <w:sz w:val="16"/>
                <w:szCs w:val="16"/>
                <w:lang w:eastAsia="es-CO"/>
              </w:rPr>
            </w:pPr>
            <w:r w:rsidRPr="00B3694F">
              <w:rPr>
                <w:rFonts w:ascii="Arial" w:hAnsi="Arial" w:cs="Arial"/>
                <w:sz w:val="16"/>
                <w:szCs w:val="16"/>
                <w:lang w:eastAsia="es-CO"/>
              </w:rPr>
              <w:t>Durante el 2019, se adelantaron importantes actividades en cada una de las estrategias de la dependencia, así:</w:t>
            </w:r>
            <w:r w:rsidRPr="00B3694F">
              <w:rPr>
                <w:rFonts w:ascii="Arial" w:hAnsi="Arial" w:cs="Arial"/>
                <w:sz w:val="16"/>
                <w:szCs w:val="16"/>
                <w:lang w:eastAsia="es-CO"/>
              </w:rPr>
              <w:br/>
            </w:r>
            <w:r w:rsidRPr="00B3694F">
              <w:rPr>
                <w:rFonts w:ascii="Arial" w:hAnsi="Arial" w:cs="Arial"/>
                <w:b/>
                <w:bCs/>
                <w:sz w:val="16"/>
                <w:szCs w:val="16"/>
                <w:lang w:eastAsia="es-CO"/>
              </w:rPr>
              <w:t xml:space="preserve">Jóvenes: </w:t>
            </w:r>
            <w:r w:rsidRPr="00B3694F">
              <w:rPr>
                <w:rFonts w:ascii="Arial" w:hAnsi="Arial" w:cs="Arial"/>
                <w:sz w:val="16"/>
                <w:szCs w:val="16"/>
                <w:lang w:eastAsia="es-CO"/>
              </w:rPr>
              <w:t>En la estrategia de jóvenes se atendió un total de 2232 jóvenes. En “Cuenta Hasta 10” durante el 2019 atendió a 1889 jóvenes que asistieron al menos al 50% de las sesiones. Para la estrategia de “en la juega” 343 jóvenes asistieron al menos al 50% de las sesiones. Otros resultados: Acompañar las Implementaciones en la juega: 125; Asistir a los comités operativos de juventud locales: 109.</w:t>
            </w:r>
            <w:r w:rsidRPr="00B3694F">
              <w:rPr>
                <w:rFonts w:ascii="Arial" w:hAnsi="Arial" w:cs="Arial"/>
                <w:sz w:val="16"/>
                <w:szCs w:val="16"/>
                <w:lang w:eastAsia="es-CO"/>
              </w:rPr>
              <w:br/>
            </w:r>
            <w:r w:rsidRPr="00B3694F">
              <w:rPr>
                <w:rFonts w:ascii="Arial" w:hAnsi="Arial" w:cs="Arial"/>
                <w:b/>
                <w:bCs/>
                <w:sz w:val="16"/>
                <w:szCs w:val="16"/>
                <w:lang w:eastAsia="es-CO"/>
              </w:rPr>
              <w:t xml:space="preserve">Mujer y Género: </w:t>
            </w:r>
            <w:r w:rsidRPr="00B3694F">
              <w:rPr>
                <w:rFonts w:ascii="Arial" w:hAnsi="Arial" w:cs="Arial"/>
                <w:sz w:val="16"/>
                <w:szCs w:val="16"/>
                <w:lang w:eastAsia="es-CO"/>
              </w:rPr>
              <w:t>Número de personas atendidas por la estrategia de mujer y Género: 251; Asistir al consejo de seguridad de mujeres: 76; Fortalecer Planes Locales de Seguridad para mujeres: 19</w:t>
            </w:r>
            <w:r w:rsidRPr="00B3694F">
              <w:rPr>
                <w:rFonts w:ascii="Arial" w:hAnsi="Arial" w:cs="Arial"/>
                <w:sz w:val="16"/>
                <w:szCs w:val="16"/>
                <w:lang w:eastAsia="es-CO"/>
              </w:rPr>
              <w:br/>
            </w:r>
            <w:r w:rsidRPr="00B3694F">
              <w:rPr>
                <w:rFonts w:ascii="Arial" w:hAnsi="Arial" w:cs="Arial"/>
                <w:b/>
                <w:bCs/>
                <w:sz w:val="16"/>
                <w:szCs w:val="16"/>
                <w:lang w:eastAsia="es-CO"/>
              </w:rPr>
              <w:t xml:space="preserve">Entornos Escolares y parques: </w:t>
            </w:r>
            <w:r w:rsidRPr="00B3694F">
              <w:rPr>
                <w:rFonts w:ascii="Arial" w:hAnsi="Arial" w:cs="Arial"/>
                <w:sz w:val="16"/>
                <w:szCs w:val="16"/>
                <w:lang w:eastAsia="es-CO"/>
              </w:rPr>
              <w:t>En las 61 IED se adelantaron en 2019 las siguientes acciones: Asistir a la mesa de entornos Escolares: 161; Gestión y seguimiento de Prevención situacional (UAESP-Ambiental-Estado de vías- Entidades Competentes): 246; Hacer acompañamiento y sensibilización a la entrada y salida de las IED a través de la entrega de tips.: 4166; Implementar la actividad cultural del plan de acción de la instancia de participación del entorno: 238; Realizar actividad de control integral, en entornos escolares con esquema de atención diferenciada: 10; Realizar la encuesta de caracterización del entorno: 241; Realizar planes de registro a personas: 746. En cuanto a los parques, se adelantaron en 2019 las siguientes acciones: Gestión y seguimiento de Prevención situacional (UAESP-Ambiental-Estado de vías- Entidades Competentes): 192; Implementar la actividad cultural del plan de acción de la instancia de participación del entorno: 186; Realizar acciones de IVC en chatarrerías, bodegas de reciclaje, compraventas, licoreras del entorno: 206; Realizar la encuesta de caracterización del entorno: 188; Realizar planes de registro a personas con canino: 40; Realizar planes de registro a personas y plan baliza: 2152; Tomate tu parque/cine al parque/torneo flash: 39; Crear o fortalecer Instancia de Participación: 47; Hacer acompañamiento y sensibilización en el entorno de los parques a través de la entrega de tips.: 363</w:t>
            </w:r>
            <w:r w:rsidRPr="00B3694F">
              <w:rPr>
                <w:rFonts w:ascii="Arial" w:hAnsi="Arial" w:cs="Arial"/>
                <w:sz w:val="16"/>
                <w:szCs w:val="16"/>
                <w:lang w:eastAsia="es-CO"/>
              </w:rPr>
              <w:br/>
            </w:r>
            <w:r w:rsidRPr="00B3694F">
              <w:rPr>
                <w:rFonts w:ascii="Arial" w:hAnsi="Arial" w:cs="Arial"/>
                <w:b/>
                <w:bCs/>
                <w:sz w:val="16"/>
                <w:szCs w:val="16"/>
                <w:lang w:eastAsia="es-CO"/>
              </w:rPr>
              <w:t>Transmilenio:</w:t>
            </w:r>
            <w:r w:rsidRPr="00B3694F">
              <w:rPr>
                <w:rFonts w:ascii="Arial" w:hAnsi="Arial" w:cs="Arial"/>
                <w:sz w:val="16"/>
                <w:szCs w:val="16"/>
                <w:lang w:eastAsia="es-CO"/>
              </w:rPr>
              <w:t xml:space="preserve"> Durante el 2019, se realizaron las siguientes acciones: Acompañamientos semanales por estación: 3380; Acciones de IVC de acuerdo en las localidades definidas (celulares): 124; Entregatón de celulares: 4; Gestión y seguimiento de Prevención situacional (UAESP-Ambiental-Estado de vías- Entidades Competentes): 252; Realizar actividades de control : plan de registro a personas, Planes Baliza, plan guitarra o control en vía a motos: 2398; Realizar la encuesta de caracterización del entorno: 199; Crear o fortalecer Instancia de Participación: 48; Hacer acompañamiento y sensibilización en el entorno de Transmilenio a través de la entrega de tips: 542; Participación en Intervenciones de urbanismo táctico: 8</w:t>
            </w:r>
            <w:r w:rsidRPr="00B3694F">
              <w:rPr>
                <w:rFonts w:ascii="Arial" w:hAnsi="Arial" w:cs="Arial"/>
                <w:sz w:val="16"/>
                <w:szCs w:val="16"/>
                <w:lang w:eastAsia="es-CO"/>
              </w:rPr>
              <w:br/>
            </w:r>
            <w:r w:rsidRPr="00B3694F">
              <w:rPr>
                <w:rFonts w:ascii="Arial" w:hAnsi="Arial" w:cs="Arial"/>
                <w:b/>
                <w:bCs/>
                <w:sz w:val="16"/>
                <w:szCs w:val="16"/>
                <w:lang w:eastAsia="es-CO"/>
              </w:rPr>
              <w:lastRenderedPageBreak/>
              <w:t xml:space="preserve">Farra en la Buena: </w:t>
            </w:r>
            <w:r w:rsidRPr="00B3694F">
              <w:rPr>
                <w:rFonts w:ascii="Arial" w:hAnsi="Arial" w:cs="Arial"/>
                <w:sz w:val="16"/>
                <w:szCs w:val="16"/>
                <w:lang w:eastAsia="es-CO"/>
              </w:rPr>
              <w:t>La estrategia durante el 2019 alcanzó los siguientes resultados: Acciones de IVC de acuerdo en las localidades definidas (celulares): 46; Acompañar las implementaciones ( puestas en escena) de la beca: 141; Acompañar planes presencia liderado por estaciones de Policía y equipos territoriales a la hora de salida de rumba.: 233; Asistir a reuniones con mesas de comerciantes: 62; Gestión y seguimiento de Prevención situacional (UAESP-Ambiental-Estado de vías- Entidades Competentes): 41; Informe de caracterización consolidado por zona, creado a partir de la implementación de las encuestas: 41; Realizar acciones de IVC a establecimientos de comercio con expendio de bebidas alcohólicas.: 224; Realizar planes de registro a personas: 51; Crear o fortalecer Instancia de Participación: 10; Feria de servicios para comerciantes en zonas de rumba: 8</w:t>
            </w:r>
          </w:p>
        </w:tc>
      </w:tr>
      <w:tr w:rsidR="00D21665" w:rsidRPr="00F948EE" w:rsidTr="000445F8">
        <w:trPr>
          <w:trHeight w:val="2490"/>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lastRenderedPageBreak/>
              <w:t>7512</w:t>
            </w:r>
          </w:p>
        </w:tc>
        <w:tc>
          <w:tcPr>
            <w:tcW w:w="330" w:type="pct"/>
            <w:tcBorders>
              <w:top w:val="nil"/>
              <w:left w:val="nil"/>
              <w:bottom w:val="nil"/>
              <w:right w:val="nil"/>
            </w:tcBorders>
            <w:shd w:val="clear" w:color="auto" w:fill="auto"/>
            <w:vAlign w:val="center"/>
            <w:hideMark/>
          </w:tcPr>
          <w:p w:rsidR="002E0574" w:rsidRPr="00B3694F" w:rsidRDefault="002E0574" w:rsidP="007B005E">
            <w:pPr>
              <w:spacing w:after="0" w:line="240" w:lineRule="auto"/>
              <w:rPr>
                <w:rFonts w:ascii="Arial" w:hAnsi="Arial" w:cs="Arial"/>
                <w:sz w:val="16"/>
                <w:szCs w:val="16"/>
                <w:lang w:eastAsia="es-CO"/>
              </w:rPr>
            </w:pPr>
            <w:r w:rsidRPr="00B3694F">
              <w:rPr>
                <w:rFonts w:ascii="Arial" w:hAnsi="Arial" w:cs="Arial"/>
                <w:sz w:val="16"/>
                <w:szCs w:val="16"/>
                <w:lang w:eastAsia="es-CO"/>
              </w:rPr>
              <w:t>PREVENCIÓN Y CONTROL DEL DELITO EN EL DISTRITO CAPITAL</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5</w:t>
            </w:r>
          </w:p>
        </w:tc>
        <w:tc>
          <w:tcPr>
            <w:tcW w:w="472"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Implementar 100% una estrategia de control por medio del fortalecimiento de la investigación judicial y criminal de delitos priorizados y el fortalecimiento de la gestión de las entidades de seguridad.</w:t>
            </w:r>
            <w:r w:rsidRPr="00B3694F">
              <w:rPr>
                <w:rFonts w:ascii="Arial" w:hAnsi="Arial" w:cs="Arial"/>
                <w:b/>
                <w:bCs/>
                <w:color w:val="FFFFFF"/>
                <w:sz w:val="16"/>
                <w:szCs w:val="16"/>
                <w:lang w:eastAsia="es-CO"/>
              </w:rPr>
              <w:t>(APARTIR DEL 2018 SE RELACIONA ESTA  META EN META PDD110)</w:t>
            </w:r>
          </w:p>
        </w:tc>
        <w:tc>
          <w:tcPr>
            <w:tcW w:w="2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35%</w:t>
            </w:r>
          </w:p>
        </w:tc>
        <w:tc>
          <w:tcPr>
            <w:tcW w:w="566"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5.478.419.219 </w:t>
            </w: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34,5%</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5.329.916.842 </w:t>
            </w:r>
          </w:p>
        </w:tc>
        <w:tc>
          <w:tcPr>
            <w:tcW w:w="2213" w:type="pct"/>
            <w:tcBorders>
              <w:top w:val="single" w:sz="4" w:space="0" w:color="auto"/>
              <w:left w:val="single" w:sz="4" w:space="0" w:color="auto"/>
              <w:bottom w:val="single" w:sz="4" w:space="0" w:color="auto"/>
              <w:right w:val="single" w:sz="4" w:space="0" w:color="auto"/>
            </w:tcBorders>
            <w:shd w:val="clear" w:color="auto" w:fill="auto"/>
            <w:hideMark/>
          </w:tcPr>
          <w:p w:rsidR="002E0574" w:rsidRPr="00B3694F" w:rsidRDefault="002E0574" w:rsidP="007B005E">
            <w:pPr>
              <w:spacing w:after="0" w:line="240" w:lineRule="auto"/>
              <w:rPr>
                <w:rFonts w:ascii="Arial" w:hAnsi="Arial" w:cs="Arial"/>
                <w:sz w:val="16"/>
                <w:szCs w:val="16"/>
                <w:lang w:eastAsia="es-CO"/>
              </w:rPr>
            </w:pPr>
            <w:r w:rsidRPr="00B3694F">
              <w:rPr>
                <w:rFonts w:ascii="Arial" w:hAnsi="Arial" w:cs="Arial"/>
                <w:b/>
                <w:bCs/>
                <w:sz w:val="16"/>
                <w:szCs w:val="16"/>
                <w:lang w:eastAsia="es-CO"/>
              </w:rPr>
              <w:t xml:space="preserve">Delitos contra el patrimonio: </w:t>
            </w:r>
            <w:r w:rsidRPr="00B3694F">
              <w:rPr>
                <w:rFonts w:ascii="Arial" w:hAnsi="Arial" w:cs="Arial"/>
                <w:sz w:val="16"/>
                <w:szCs w:val="16"/>
                <w:lang w:eastAsia="es-CO"/>
              </w:rPr>
              <w:t xml:space="preserve">Durante la vigencia 2019 se adelantaron las siguientes acciones: Acciones de IVC a establecimientos de comercio dedicados a la comercialización de bicicletas: 135; Bicidenuncia: 185; Entregatón de bicicletas: 1; Gestión y seguimiento de Prevención situacional (UAESP-Ambiental-Estado de vías- Entidades Competentes): 117; Informe /Encuesta entorno: 114; Planes de registro de bicicletas y personas: 1317; Realizar reporte de seguridad ciudadana con variables de hurto a bicicletas a nivel distrital y local, de acuerdo a la información recolectada mediante diferentes fuentes: 6; Crear o fortalecer Instancia de Participación: 30; Fortalecer una instancia de participación con los colectivos de bicicletas a nivel distrital: 1; Hacer acompañamiento y sensibilización en punto priorizado por hurto a bicicletas a través de la entrega de recomendaciones de autocuidado: 255; Jornadas de registro de bicicletas: 66. </w:t>
            </w:r>
            <w:r w:rsidRPr="00B3694F">
              <w:rPr>
                <w:rFonts w:ascii="Arial" w:hAnsi="Arial" w:cs="Arial"/>
                <w:sz w:val="16"/>
                <w:szCs w:val="16"/>
                <w:lang w:eastAsia="es-CO"/>
              </w:rPr>
              <w:br/>
            </w:r>
            <w:r w:rsidRPr="00B3694F">
              <w:rPr>
                <w:rFonts w:ascii="Arial" w:hAnsi="Arial" w:cs="Arial"/>
                <w:b/>
                <w:bCs/>
                <w:sz w:val="16"/>
                <w:szCs w:val="16"/>
                <w:lang w:eastAsia="es-CO"/>
              </w:rPr>
              <w:t>Delitos contra la vida</w:t>
            </w:r>
            <w:r w:rsidRPr="00B3694F">
              <w:rPr>
                <w:rFonts w:ascii="Arial" w:hAnsi="Arial" w:cs="Arial"/>
                <w:sz w:val="16"/>
                <w:szCs w:val="16"/>
                <w:lang w:eastAsia="es-CO"/>
              </w:rPr>
              <w:t>.</w:t>
            </w:r>
            <w:r w:rsidRPr="00B3694F">
              <w:rPr>
                <w:rFonts w:ascii="Arial" w:hAnsi="Arial" w:cs="Arial"/>
                <w:b/>
                <w:bCs/>
                <w:sz w:val="16"/>
                <w:szCs w:val="16"/>
                <w:lang w:eastAsia="es-CO"/>
              </w:rPr>
              <w:t xml:space="preserve"> </w:t>
            </w:r>
            <w:r w:rsidRPr="00B3694F">
              <w:rPr>
                <w:rFonts w:ascii="Arial" w:hAnsi="Arial" w:cs="Arial"/>
                <w:sz w:val="16"/>
                <w:szCs w:val="16"/>
                <w:lang w:eastAsia="es-CO"/>
              </w:rPr>
              <w:t>Durante la vigencia se adelantaron las siguientes acciones: Acompañar planes presencia liderado por estaciones de Policía y equipos territoriales a la hora de salida de rumba.: 134; Asistir a reuniones con mesas de comerciantes: 35; Gestión y seguimiento de Prevención situacional (UAESP-Ambiental-Estado de vías- Entidades Competentes): 24; Informe de caracterización consolidado por zona, creado a partir de la implementación de las encuestas: 25; Realizar acciones de IVC a establecimientos de comercio con expendio de bebidas alcohólicas.: 125; Realizar informe con variables del homicidio a nivel distrital y local, de acuerdo a la información recolectada mediante diferentes fuentes: 112; Realizar planes de registro a personas: 16; Crear o fortalecer Instancia de Participación: 8; Feria de servicios para comerciantes en zonas de rumba: 4.</w:t>
            </w:r>
          </w:p>
        </w:tc>
      </w:tr>
      <w:tr w:rsidR="00D21665" w:rsidRPr="00F948EE" w:rsidTr="000445F8">
        <w:trPr>
          <w:trHeight w:val="1575"/>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7512</w:t>
            </w:r>
          </w:p>
        </w:tc>
        <w:tc>
          <w:tcPr>
            <w:tcW w:w="330" w:type="pct"/>
            <w:tcBorders>
              <w:top w:val="nil"/>
              <w:left w:val="nil"/>
              <w:bottom w:val="nil"/>
              <w:right w:val="nil"/>
            </w:tcBorders>
            <w:shd w:val="clear" w:color="auto" w:fill="auto"/>
            <w:noWrap/>
            <w:vAlign w:val="bottom"/>
            <w:hideMark/>
          </w:tcPr>
          <w:p w:rsidR="002E0574" w:rsidRPr="00B3694F" w:rsidRDefault="002E0574" w:rsidP="007B005E">
            <w:pPr>
              <w:spacing w:after="0" w:line="240" w:lineRule="auto"/>
              <w:jc w:val="center"/>
              <w:rPr>
                <w:rFonts w:ascii="Arial" w:hAnsi="Arial" w:cs="Arial"/>
                <w:color w:val="000000"/>
                <w:sz w:val="16"/>
                <w:szCs w:val="16"/>
                <w:lang w:eastAsia="es-C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9</w:t>
            </w:r>
          </w:p>
        </w:tc>
        <w:tc>
          <w:tcPr>
            <w:tcW w:w="472"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 xml:space="preserve">Implementar el 100% de un modelo de intervención integral de territorio </w:t>
            </w:r>
            <w:r w:rsidRPr="00B3694F">
              <w:rPr>
                <w:rFonts w:ascii="Arial" w:hAnsi="Arial" w:cs="Arial"/>
                <w:b/>
                <w:bCs/>
                <w:color w:val="FF0000"/>
                <w:sz w:val="16"/>
                <w:szCs w:val="16"/>
                <w:lang w:eastAsia="es-CO"/>
              </w:rPr>
              <w:t xml:space="preserve"> </w:t>
            </w:r>
          </w:p>
        </w:tc>
        <w:tc>
          <w:tcPr>
            <w:tcW w:w="2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35%</w:t>
            </w:r>
          </w:p>
        </w:tc>
        <w:tc>
          <w:tcPr>
            <w:tcW w:w="566"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436.324.065 </w:t>
            </w: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35%</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418.300.490 </w:t>
            </w:r>
          </w:p>
        </w:tc>
        <w:tc>
          <w:tcPr>
            <w:tcW w:w="2213" w:type="pct"/>
            <w:tcBorders>
              <w:top w:val="single" w:sz="4" w:space="0" w:color="auto"/>
              <w:left w:val="single" w:sz="4" w:space="0" w:color="auto"/>
              <w:bottom w:val="single" w:sz="4" w:space="0" w:color="auto"/>
              <w:right w:val="single" w:sz="4" w:space="0" w:color="auto"/>
            </w:tcBorders>
            <w:shd w:val="clear" w:color="auto" w:fill="auto"/>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b/>
                <w:bCs/>
                <w:sz w:val="16"/>
                <w:szCs w:val="16"/>
                <w:lang w:eastAsia="es-CO"/>
              </w:rPr>
              <w:t xml:space="preserve">Modelo TAC: </w:t>
            </w:r>
            <w:r w:rsidRPr="00B3694F">
              <w:rPr>
                <w:rFonts w:ascii="Arial" w:hAnsi="Arial" w:cs="Arial"/>
                <w:sz w:val="16"/>
                <w:szCs w:val="16"/>
                <w:lang w:eastAsia="es-CO"/>
              </w:rPr>
              <w:t>Para el 2019, conforme al cronograma establecido, se adelantaron las siguientes acciones en los TAC: Actividad dentro del plan de acción de instancias de participación: 91; Actividad lúdico recreativa en el parque: 72; Actividad lúdico recreativa en entornos escolares: 57; Feria de servicios / Oferta Institucional: 64; Operativos de IVC a establecimientos de comercio con expendio de bebidas alcohólicas: 165; Operativos de IVC a establecimientos de comercio con expendió de bebidas alcohólicas y/o establecimientos de alto impa</w:t>
            </w:r>
            <w:r>
              <w:rPr>
                <w:rFonts w:ascii="Arial" w:hAnsi="Arial" w:cs="Arial"/>
                <w:sz w:val="16"/>
                <w:szCs w:val="16"/>
                <w:lang w:eastAsia="es-CO"/>
              </w:rPr>
              <w:t>cto (Bodegas, peluquerías, paga</w:t>
            </w:r>
            <w:r w:rsidRPr="00B3694F">
              <w:rPr>
                <w:rFonts w:ascii="Arial" w:hAnsi="Arial" w:cs="Arial"/>
                <w:sz w:val="16"/>
                <w:szCs w:val="16"/>
                <w:lang w:eastAsia="es-CO"/>
              </w:rPr>
              <w:t>diarios</w:t>
            </w:r>
            <w:r>
              <w:rPr>
                <w:rFonts w:ascii="Arial" w:hAnsi="Arial" w:cs="Arial"/>
                <w:sz w:val="16"/>
                <w:szCs w:val="16"/>
                <w:lang w:eastAsia="es-CO"/>
              </w:rPr>
              <w:t xml:space="preserve">, </w:t>
            </w:r>
            <w:r w:rsidRPr="00B3694F">
              <w:rPr>
                <w:rFonts w:ascii="Arial" w:hAnsi="Arial" w:cs="Arial"/>
                <w:sz w:val="16"/>
                <w:szCs w:val="16"/>
                <w:lang w:eastAsia="es-CO"/>
              </w:rPr>
              <w:t>,droguerías,etc.): 74; Operativos de IVC a establecimientos de comercio dedicados a la comercialización de bicicletas: 15; Operativos de IVC a establecimientos de comercio dedicados a la comercialización de celulares: 29; Planes Avispa ( ivc, requisa, plan mochila, plan baliza): 132; Planes Baliza: 259; Planes de registro a personas: 298; Planes Guitarra: 448; Reportes de seguridad ciudadana con variables de microtráfico, hurto, trata, a nivel distrital y local, de acuerdo a la información recolectada mediante diferentes fuentes: 11</w:t>
            </w:r>
          </w:p>
        </w:tc>
      </w:tr>
      <w:tr w:rsidR="00D21665" w:rsidRPr="00F948EE" w:rsidTr="000445F8">
        <w:trPr>
          <w:trHeight w:val="234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lastRenderedPageBreak/>
              <w:t>7512</w:t>
            </w:r>
          </w:p>
        </w:tc>
        <w:tc>
          <w:tcPr>
            <w:tcW w:w="330" w:type="pct"/>
            <w:tcBorders>
              <w:top w:val="nil"/>
              <w:left w:val="nil"/>
              <w:bottom w:val="nil"/>
              <w:right w:val="nil"/>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p>
        </w:tc>
        <w:tc>
          <w:tcPr>
            <w:tcW w:w="189"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2</w:t>
            </w:r>
          </w:p>
        </w:tc>
        <w:tc>
          <w:tcPr>
            <w:tcW w:w="472"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Elaborar 20 documentos de política pública que involucren la utilización de métodos cuantitativos, geoestadísticos y cualitativos de investigación para respaldar con evidencia empírica el proceso de toma de decisiones.</w:t>
            </w:r>
          </w:p>
        </w:tc>
        <w:tc>
          <w:tcPr>
            <w:tcW w:w="221" w:type="pct"/>
            <w:tcBorders>
              <w:top w:val="nil"/>
              <w:left w:val="single" w:sz="4" w:space="0" w:color="auto"/>
              <w:bottom w:val="single" w:sz="4" w:space="0" w:color="auto"/>
              <w:right w:val="single" w:sz="4" w:space="0" w:color="auto"/>
            </w:tcBorders>
            <w:shd w:val="clear" w:color="auto" w:fill="auto"/>
            <w:noWrap/>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3</w:t>
            </w:r>
          </w:p>
        </w:tc>
        <w:tc>
          <w:tcPr>
            <w:tcW w:w="566"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395.183.333 </w:t>
            </w:r>
          </w:p>
        </w:tc>
        <w:tc>
          <w:tcPr>
            <w:tcW w:w="254"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 xml:space="preserve">3 </w:t>
            </w:r>
          </w:p>
        </w:tc>
        <w:tc>
          <w:tcPr>
            <w:tcW w:w="568"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395.183.333 </w:t>
            </w:r>
          </w:p>
        </w:tc>
        <w:tc>
          <w:tcPr>
            <w:tcW w:w="2213" w:type="pct"/>
            <w:tcBorders>
              <w:top w:val="nil"/>
              <w:left w:val="single" w:sz="4" w:space="0" w:color="auto"/>
              <w:bottom w:val="single" w:sz="4" w:space="0" w:color="auto"/>
              <w:right w:val="single" w:sz="4" w:space="0" w:color="auto"/>
            </w:tcBorders>
            <w:shd w:val="clear" w:color="auto" w:fill="auto"/>
            <w:hideMark/>
          </w:tcPr>
          <w:p w:rsidR="002E0574" w:rsidRPr="00B3694F" w:rsidRDefault="002E0574" w:rsidP="007B005E">
            <w:pPr>
              <w:spacing w:after="0" w:line="240" w:lineRule="auto"/>
              <w:rPr>
                <w:rFonts w:ascii="Arial" w:hAnsi="Arial" w:cs="Arial"/>
                <w:sz w:val="16"/>
                <w:szCs w:val="16"/>
                <w:lang w:eastAsia="es-CO"/>
              </w:rPr>
            </w:pPr>
            <w:r w:rsidRPr="00B3694F">
              <w:rPr>
                <w:rFonts w:ascii="Arial" w:hAnsi="Arial" w:cs="Arial"/>
                <w:sz w:val="16"/>
                <w:szCs w:val="16"/>
                <w:lang w:eastAsia="es-CO"/>
              </w:rPr>
              <w:t>Documentos terminados:</w:t>
            </w:r>
            <w:r w:rsidRPr="00B3694F">
              <w:rPr>
                <w:rFonts w:ascii="Arial" w:hAnsi="Arial" w:cs="Arial"/>
                <w:sz w:val="16"/>
                <w:szCs w:val="16"/>
                <w:lang w:eastAsia="es-CO"/>
              </w:rPr>
              <w:br/>
              <w:t>1.Programa Distrital de Justicia Juvenil Restaurativa</w:t>
            </w:r>
            <w:r w:rsidRPr="00B3694F">
              <w:rPr>
                <w:rFonts w:ascii="Arial" w:hAnsi="Arial" w:cs="Arial"/>
                <w:sz w:val="16"/>
                <w:szCs w:val="16"/>
                <w:lang w:eastAsia="es-CO"/>
              </w:rPr>
              <w:br/>
              <w:t>2.Educación y Crimen: El impacto de la ampliación de la Jornada única escolar sobre la criminalidad en Bogotá alrededor de los colegios.</w:t>
            </w:r>
            <w:r w:rsidRPr="00B3694F">
              <w:rPr>
                <w:rFonts w:ascii="Arial" w:hAnsi="Arial" w:cs="Arial"/>
                <w:sz w:val="16"/>
                <w:szCs w:val="16"/>
                <w:lang w:eastAsia="es-CO"/>
              </w:rPr>
              <w:br/>
              <w:t>3. Evaluación del programa cuenta hasta diez (CBT 1) – Centros de Atención Especializada y CBT 2 - Instituciones Educativas Distritales.</w:t>
            </w:r>
            <w:r w:rsidRPr="00B3694F">
              <w:rPr>
                <w:rFonts w:ascii="Arial" w:hAnsi="Arial" w:cs="Arial"/>
                <w:sz w:val="16"/>
                <w:szCs w:val="16"/>
                <w:lang w:eastAsia="es-CO"/>
              </w:rPr>
              <w:br/>
            </w:r>
            <w:r w:rsidRPr="00B3694F">
              <w:rPr>
                <w:rFonts w:ascii="Arial" w:hAnsi="Arial" w:cs="Arial"/>
                <w:sz w:val="16"/>
                <w:szCs w:val="16"/>
                <w:lang w:eastAsia="es-CO"/>
              </w:rPr>
              <w:br/>
              <w:t>Documentos en proceso de construcción:</w:t>
            </w:r>
            <w:r w:rsidRPr="00B3694F">
              <w:rPr>
                <w:rFonts w:ascii="Arial" w:hAnsi="Arial" w:cs="Arial"/>
                <w:sz w:val="16"/>
                <w:szCs w:val="16"/>
                <w:lang w:eastAsia="es-CO"/>
              </w:rPr>
              <w:br/>
              <w:t>1. Parques y Crimen</w:t>
            </w:r>
            <w:r w:rsidRPr="00B3694F">
              <w:rPr>
                <w:rFonts w:ascii="Arial" w:hAnsi="Arial" w:cs="Arial"/>
                <w:sz w:val="16"/>
                <w:szCs w:val="16"/>
                <w:lang w:eastAsia="es-CO"/>
              </w:rPr>
              <w:br/>
              <w:t>2. Incentivos policiales e instituciones del sistema judicial: Evidencia para Bogotá D.C.</w:t>
            </w:r>
          </w:p>
        </w:tc>
      </w:tr>
      <w:tr w:rsidR="00D21665" w:rsidRPr="00F948EE" w:rsidTr="000445F8">
        <w:trPr>
          <w:trHeight w:val="189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7512</w:t>
            </w:r>
          </w:p>
        </w:tc>
        <w:tc>
          <w:tcPr>
            <w:tcW w:w="330" w:type="pct"/>
            <w:tcBorders>
              <w:top w:val="nil"/>
              <w:left w:val="nil"/>
              <w:bottom w:val="single" w:sz="4" w:space="0" w:color="auto"/>
              <w:right w:val="nil"/>
            </w:tcBorders>
            <w:shd w:val="clear" w:color="auto" w:fill="auto"/>
            <w:vAlign w:val="center"/>
            <w:hideMark/>
          </w:tcPr>
          <w:p w:rsidR="002E0574" w:rsidRPr="00B3694F" w:rsidRDefault="002E0574" w:rsidP="007B005E">
            <w:pPr>
              <w:spacing w:after="0" w:line="240" w:lineRule="auto"/>
              <w:rPr>
                <w:rFonts w:ascii="Arial" w:hAnsi="Arial" w:cs="Arial"/>
                <w:sz w:val="16"/>
                <w:szCs w:val="16"/>
                <w:lang w:eastAsia="es-CO"/>
              </w:rPr>
            </w:pPr>
            <w:r w:rsidRPr="00B3694F">
              <w:rPr>
                <w:rFonts w:ascii="Arial" w:hAnsi="Arial" w:cs="Arial"/>
                <w:sz w:val="16"/>
                <w:szCs w:val="16"/>
                <w:lang w:eastAsia="es-CO"/>
              </w:rPr>
              <w:t> </w:t>
            </w:r>
          </w:p>
        </w:tc>
        <w:tc>
          <w:tcPr>
            <w:tcW w:w="189"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7</w:t>
            </w:r>
          </w:p>
        </w:tc>
        <w:tc>
          <w:tcPr>
            <w:tcW w:w="472"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Consolidar 100 por ciento los recursos humano y tecnológico para el diseño y validación de modelos de analítica predictiva en materia de seguridad y convivencia para la toma de decisiones en Bogotá.</w:t>
            </w:r>
          </w:p>
        </w:tc>
        <w:tc>
          <w:tcPr>
            <w:tcW w:w="221" w:type="pct"/>
            <w:tcBorders>
              <w:top w:val="nil"/>
              <w:left w:val="single" w:sz="4" w:space="0" w:color="auto"/>
              <w:bottom w:val="single" w:sz="4" w:space="0" w:color="auto"/>
              <w:right w:val="single" w:sz="4" w:space="0" w:color="auto"/>
            </w:tcBorders>
            <w:shd w:val="clear" w:color="auto" w:fill="auto"/>
            <w:noWrap/>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100%</w:t>
            </w:r>
          </w:p>
        </w:tc>
        <w:tc>
          <w:tcPr>
            <w:tcW w:w="566"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534.159.658 </w:t>
            </w:r>
          </w:p>
        </w:tc>
        <w:tc>
          <w:tcPr>
            <w:tcW w:w="254"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98%</w:t>
            </w:r>
          </w:p>
        </w:tc>
        <w:tc>
          <w:tcPr>
            <w:tcW w:w="568"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521.263.333 </w:t>
            </w:r>
          </w:p>
        </w:tc>
        <w:tc>
          <w:tcPr>
            <w:tcW w:w="2213" w:type="pct"/>
            <w:tcBorders>
              <w:top w:val="nil"/>
              <w:left w:val="single" w:sz="4" w:space="0" w:color="auto"/>
              <w:bottom w:val="single" w:sz="4" w:space="0" w:color="auto"/>
              <w:right w:val="single" w:sz="4" w:space="0" w:color="auto"/>
            </w:tcBorders>
            <w:shd w:val="clear" w:color="auto" w:fill="auto"/>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 xml:space="preserve">La OAIEE cuenta con los recursos, físicos, financieros y humanos para su operación requeridos hasta la fecha. </w:t>
            </w:r>
          </w:p>
        </w:tc>
      </w:tr>
      <w:tr w:rsidR="00D21665" w:rsidRPr="00F948EE" w:rsidTr="000445F8">
        <w:trPr>
          <w:trHeight w:val="1530"/>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lastRenderedPageBreak/>
              <w:t>7510</w:t>
            </w:r>
          </w:p>
        </w:tc>
        <w:tc>
          <w:tcPr>
            <w:tcW w:w="330" w:type="pct"/>
            <w:tcBorders>
              <w:top w:val="nil"/>
              <w:left w:val="nil"/>
              <w:bottom w:val="nil"/>
              <w:right w:val="nil"/>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11</w:t>
            </w:r>
          </w:p>
        </w:tc>
        <w:tc>
          <w:tcPr>
            <w:tcW w:w="472"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Garantizar 100 por ciento el pago de compromisos de vigencias anteriores fenecidas</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100%</w:t>
            </w:r>
          </w:p>
        </w:tc>
        <w:tc>
          <w:tcPr>
            <w:tcW w:w="566"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236.387.706 </w:t>
            </w: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100%</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197.555.706 </w:t>
            </w:r>
          </w:p>
        </w:tc>
        <w:tc>
          <w:tcPr>
            <w:tcW w:w="2213" w:type="pct"/>
            <w:tcBorders>
              <w:top w:val="single" w:sz="4" w:space="0" w:color="auto"/>
              <w:left w:val="single" w:sz="4" w:space="0" w:color="auto"/>
              <w:bottom w:val="single" w:sz="4" w:space="0" w:color="auto"/>
              <w:right w:val="single" w:sz="4" w:space="0" w:color="auto"/>
            </w:tcBorders>
            <w:shd w:val="clear" w:color="auto" w:fill="auto"/>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Con respecto al proyecto de inversión 7510, se ha girado pago un total $197.555.706.</w:t>
            </w:r>
          </w:p>
        </w:tc>
      </w:tr>
      <w:tr w:rsidR="00D21665" w:rsidRPr="00F948EE" w:rsidTr="000445F8">
        <w:trPr>
          <w:trHeight w:val="153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7510</w:t>
            </w:r>
          </w:p>
        </w:tc>
        <w:tc>
          <w:tcPr>
            <w:tcW w:w="330" w:type="pct"/>
            <w:tcBorders>
              <w:top w:val="nil"/>
              <w:left w:val="nil"/>
              <w:bottom w:val="nil"/>
              <w:right w:val="nil"/>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p>
        </w:tc>
        <w:tc>
          <w:tcPr>
            <w:tcW w:w="189"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5</w:t>
            </w:r>
          </w:p>
        </w:tc>
        <w:tc>
          <w:tcPr>
            <w:tcW w:w="472"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Garantizar 100% por ciento La Operación y sostenimiento del proyecto de inversión.</w:t>
            </w:r>
          </w:p>
        </w:tc>
        <w:tc>
          <w:tcPr>
            <w:tcW w:w="221"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100%</w:t>
            </w:r>
          </w:p>
        </w:tc>
        <w:tc>
          <w:tcPr>
            <w:tcW w:w="566"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5.823.047.690 </w:t>
            </w:r>
          </w:p>
        </w:tc>
        <w:tc>
          <w:tcPr>
            <w:tcW w:w="254"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100%</w:t>
            </w:r>
          </w:p>
        </w:tc>
        <w:tc>
          <w:tcPr>
            <w:tcW w:w="568"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5.753.325.028 </w:t>
            </w:r>
          </w:p>
        </w:tc>
        <w:tc>
          <w:tcPr>
            <w:tcW w:w="2213" w:type="pct"/>
            <w:tcBorders>
              <w:top w:val="nil"/>
              <w:left w:val="single" w:sz="4" w:space="0" w:color="auto"/>
              <w:bottom w:val="single" w:sz="4" w:space="0" w:color="auto"/>
              <w:right w:val="single" w:sz="4" w:space="0" w:color="auto"/>
            </w:tcBorders>
            <w:shd w:val="clear" w:color="auto" w:fill="auto"/>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Se efectuó la gestión y contratación de actividades y servicios que soportan el proyecto de inversión y sin los cuales no se podrían alcanzar las metas y objetivos propuestos. Estas acciones incluyen arriendos de Casas de Justicia, conectividad, seguros, servicio de vigilancia y de aseo y cafetería, mantenimiento de aires acondicionados y UPS de Casas de Justicia, pago de servicios públicos, entrega de elementos de bioseguridad para el CTP, suministro de combustible para Casas de Justicia móvil y servicios de apoyo a la gestión del proyecto.</w:t>
            </w:r>
          </w:p>
        </w:tc>
      </w:tr>
      <w:tr w:rsidR="00D21665" w:rsidRPr="00F948EE" w:rsidTr="000445F8">
        <w:trPr>
          <w:trHeight w:val="988"/>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7510</w:t>
            </w:r>
          </w:p>
        </w:tc>
        <w:tc>
          <w:tcPr>
            <w:tcW w:w="330" w:type="pct"/>
            <w:tcBorders>
              <w:top w:val="nil"/>
              <w:left w:val="nil"/>
              <w:bottom w:val="nil"/>
              <w:right w:val="nil"/>
            </w:tcBorders>
            <w:shd w:val="clear" w:color="auto" w:fill="auto"/>
            <w:vAlign w:val="center"/>
            <w:hideMark/>
          </w:tcPr>
          <w:p w:rsidR="002E0574" w:rsidRPr="00B3694F" w:rsidRDefault="002E0574" w:rsidP="007B005E">
            <w:pPr>
              <w:spacing w:after="0" w:line="240" w:lineRule="auto"/>
              <w:rPr>
                <w:rFonts w:ascii="Arial" w:hAnsi="Arial" w:cs="Arial"/>
                <w:sz w:val="16"/>
                <w:szCs w:val="16"/>
                <w:lang w:eastAsia="es-CO"/>
              </w:rPr>
            </w:pPr>
            <w:r w:rsidRPr="00B3694F">
              <w:rPr>
                <w:rFonts w:ascii="Arial" w:hAnsi="Arial" w:cs="Arial"/>
                <w:sz w:val="16"/>
                <w:szCs w:val="16"/>
                <w:lang w:eastAsia="es-CO"/>
              </w:rPr>
              <w:t>NUEVOS Y MEJORES EQUIPAMIENTOS  DE JUSTICIA PARA BOGOTA.</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7</w:t>
            </w:r>
          </w:p>
        </w:tc>
        <w:tc>
          <w:tcPr>
            <w:tcW w:w="472"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Mantener y/o adecuar 12 Equipamientos de justicia</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6</w:t>
            </w:r>
          </w:p>
        </w:tc>
        <w:tc>
          <w:tcPr>
            <w:tcW w:w="566"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834.600.558 </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6</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833.000.000 </w:t>
            </w:r>
          </w:p>
        </w:tc>
        <w:tc>
          <w:tcPr>
            <w:tcW w:w="2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rPr>
                <w:rFonts w:ascii="Arial" w:hAnsi="Arial" w:cs="Arial"/>
                <w:color w:val="000000"/>
                <w:sz w:val="16"/>
                <w:szCs w:val="16"/>
                <w:lang w:eastAsia="es-CO"/>
              </w:rPr>
            </w:pPr>
            <w:r w:rsidRPr="00B3694F">
              <w:rPr>
                <w:rFonts w:ascii="Arial" w:hAnsi="Arial" w:cs="Arial"/>
                <w:color w:val="000000"/>
                <w:sz w:val="16"/>
                <w:szCs w:val="16"/>
                <w:lang w:eastAsia="es-CO"/>
              </w:rPr>
              <w:t xml:space="preserve">El nuevo contrato de mantenimiento  995 de 2019 inició con  la etapa de diagnóstico y atención de emergencias, a la fecha se cuenta con 14 frentes de trabajo en ejecución, se espera incrementar a 25 frentes de trabajo </w:t>
            </w:r>
          </w:p>
        </w:tc>
      </w:tr>
      <w:tr w:rsidR="00D21665" w:rsidRPr="00F948EE" w:rsidTr="000445F8">
        <w:trPr>
          <w:trHeight w:val="1230"/>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7510</w:t>
            </w:r>
          </w:p>
        </w:tc>
        <w:tc>
          <w:tcPr>
            <w:tcW w:w="330" w:type="pct"/>
            <w:tcBorders>
              <w:top w:val="nil"/>
              <w:left w:val="nil"/>
              <w:bottom w:val="nil"/>
              <w:right w:val="nil"/>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5</w:t>
            </w:r>
          </w:p>
        </w:tc>
        <w:tc>
          <w:tcPr>
            <w:tcW w:w="472"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Garantizar 100% por ciento La Operación y sostenimiento del proyecto de inversión.</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100%</w:t>
            </w:r>
          </w:p>
        </w:tc>
        <w:tc>
          <w:tcPr>
            <w:tcW w:w="566"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27.743.748 </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100%</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27.743.748 </w:t>
            </w:r>
          </w:p>
        </w:tc>
        <w:tc>
          <w:tcPr>
            <w:tcW w:w="2213" w:type="pct"/>
            <w:tcBorders>
              <w:top w:val="single" w:sz="4" w:space="0" w:color="auto"/>
              <w:left w:val="single" w:sz="4" w:space="0" w:color="auto"/>
              <w:bottom w:val="single" w:sz="4" w:space="0" w:color="auto"/>
              <w:right w:val="single" w:sz="4" w:space="0" w:color="auto"/>
            </w:tcBorders>
            <w:shd w:val="clear" w:color="auto" w:fill="auto"/>
            <w:hideMark/>
          </w:tcPr>
          <w:p w:rsidR="002E0574" w:rsidRPr="00B3694F" w:rsidRDefault="002E0574" w:rsidP="007B005E">
            <w:pPr>
              <w:spacing w:after="0" w:line="240" w:lineRule="auto"/>
              <w:rPr>
                <w:rFonts w:ascii="Arial" w:hAnsi="Arial" w:cs="Arial"/>
                <w:sz w:val="16"/>
                <w:szCs w:val="16"/>
                <w:lang w:eastAsia="es-CO"/>
              </w:rPr>
            </w:pPr>
            <w:r w:rsidRPr="00B3694F">
              <w:rPr>
                <w:rFonts w:ascii="Arial" w:hAnsi="Arial" w:cs="Arial"/>
                <w:sz w:val="16"/>
                <w:szCs w:val="16"/>
                <w:lang w:eastAsia="es-CO"/>
              </w:rPr>
              <w:t>Dentro de las funciones de la Secretaría Distrital de Seguridad, Convivencia y Justicia, se encuentra la de brindar las herramientas necesarias para la seguridad, convivencia y acceso a la justicia, fortaleciendo los organismos de seguridad y justicia del Distrito, a través de inversiones que mejoren sus capacidades y sus equipamientos para que sean más efectivos en sus acciones.</w:t>
            </w:r>
            <w:r w:rsidRPr="00B3694F">
              <w:rPr>
                <w:rFonts w:ascii="Arial" w:hAnsi="Arial" w:cs="Arial"/>
                <w:sz w:val="16"/>
                <w:szCs w:val="16"/>
                <w:lang w:eastAsia="es-CO"/>
              </w:rPr>
              <w:br/>
              <w:t>Se garantizó el suministro de combustible a las Casas de Justicia Móviles en circulación.</w:t>
            </w:r>
          </w:p>
        </w:tc>
      </w:tr>
      <w:tr w:rsidR="00D21665" w:rsidRPr="00F948EE" w:rsidTr="000445F8">
        <w:trPr>
          <w:trHeight w:val="7785"/>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lastRenderedPageBreak/>
              <w:t>7510</w:t>
            </w:r>
          </w:p>
        </w:tc>
        <w:tc>
          <w:tcPr>
            <w:tcW w:w="330" w:type="pct"/>
            <w:tcBorders>
              <w:top w:val="nil"/>
              <w:left w:val="nil"/>
              <w:bottom w:val="nil"/>
              <w:right w:val="nil"/>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p>
        </w:tc>
        <w:tc>
          <w:tcPr>
            <w:tcW w:w="189"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4</w:t>
            </w:r>
          </w:p>
        </w:tc>
        <w:tc>
          <w:tcPr>
            <w:tcW w:w="472"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Diseñar e implementar 2 Centros Integrales De justicia</w:t>
            </w:r>
          </w:p>
        </w:tc>
        <w:tc>
          <w:tcPr>
            <w:tcW w:w="221"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1,62</w:t>
            </w:r>
          </w:p>
        </w:tc>
        <w:tc>
          <w:tcPr>
            <w:tcW w:w="566"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530.484.722 </w:t>
            </w:r>
          </w:p>
        </w:tc>
        <w:tc>
          <w:tcPr>
            <w:tcW w:w="254" w:type="pct"/>
            <w:tcBorders>
              <w:top w:val="nil"/>
              <w:left w:val="nil"/>
              <w:bottom w:val="single" w:sz="4" w:space="0" w:color="auto"/>
              <w:right w:val="single" w:sz="4" w:space="0" w:color="auto"/>
            </w:tcBorders>
            <w:shd w:val="clear" w:color="auto" w:fill="auto"/>
            <w:noWrap/>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0,83</w:t>
            </w:r>
          </w:p>
        </w:tc>
        <w:tc>
          <w:tcPr>
            <w:tcW w:w="568"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193.278.236 </w:t>
            </w:r>
          </w:p>
        </w:tc>
        <w:tc>
          <w:tcPr>
            <w:tcW w:w="2213" w:type="pct"/>
            <w:tcBorders>
              <w:top w:val="nil"/>
              <w:left w:val="single" w:sz="4" w:space="0" w:color="auto"/>
              <w:bottom w:val="single" w:sz="4" w:space="0" w:color="auto"/>
              <w:right w:val="single" w:sz="4" w:space="0" w:color="auto"/>
            </w:tcBorders>
            <w:shd w:val="clear" w:color="auto" w:fill="auto"/>
            <w:hideMark/>
          </w:tcPr>
          <w:p w:rsidR="002E0574" w:rsidRDefault="002E0574" w:rsidP="007B005E">
            <w:pPr>
              <w:spacing w:after="0" w:line="240" w:lineRule="auto"/>
              <w:rPr>
                <w:rFonts w:ascii="Arial" w:hAnsi="Arial" w:cs="Arial"/>
                <w:sz w:val="16"/>
                <w:szCs w:val="16"/>
                <w:lang w:eastAsia="es-CO"/>
              </w:rPr>
            </w:pPr>
            <w:r w:rsidRPr="00B3694F">
              <w:rPr>
                <w:rFonts w:ascii="Arial" w:hAnsi="Arial" w:cs="Arial"/>
                <w:sz w:val="16"/>
                <w:szCs w:val="16"/>
                <w:lang w:eastAsia="es-CO"/>
              </w:rPr>
              <w:t>Actualmente se ha avanzado el 51% en el diseño e implementación de dos Centros Integrales de Justicia, los cuales serán un complejo de equipamientos que busca integrar en un solo concepto la oferta de justicia formal, no formal y comunitaria, así como de resolución pacífica de conflictos, aplicando medios de protección regulados por la ley. El propósito es que en un solo espacio se garantice el acceso a la administración de justicia, se promueva la convivencia ciudadana y la garantía de derechos.</w:t>
            </w:r>
            <w:r w:rsidRPr="00B3694F">
              <w:rPr>
                <w:rFonts w:ascii="Arial" w:hAnsi="Arial" w:cs="Arial"/>
                <w:sz w:val="16"/>
                <w:szCs w:val="16"/>
                <w:lang w:eastAsia="es-CO"/>
              </w:rPr>
              <w:br/>
            </w:r>
            <w:r w:rsidRPr="00B3694F">
              <w:rPr>
                <w:rFonts w:ascii="Arial" w:hAnsi="Arial" w:cs="Arial"/>
                <w:b/>
                <w:bCs/>
                <w:sz w:val="16"/>
                <w:szCs w:val="16"/>
                <w:lang w:eastAsia="es-CO"/>
              </w:rPr>
              <w:t>Centro Integral de Justicia-</w:t>
            </w:r>
            <w:r w:rsidRPr="00B3694F">
              <w:rPr>
                <w:rFonts w:ascii="Arial" w:hAnsi="Arial" w:cs="Arial"/>
                <w:sz w:val="16"/>
                <w:szCs w:val="16"/>
                <w:lang w:eastAsia="es-CO"/>
              </w:rPr>
              <w:t xml:space="preserve"> CIJ Puente Aranda (Avance del 25% de 50%)</w:t>
            </w:r>
            <w:r w:rsidRPr="00B3694F">
              <w:rPr>
                <w:rFonts w:ascii="Arial" w:hAnsi="Arial" w:cs="Arial"/>
                <w:sz w:val="16"/>
                <w:szCs w:val="16"/>
                <w:lang w:eastAsia="es-CO"/>
              </w:rPr>
              <w:br/>
              <w:t>Actualmente se tiene un avance del 25%, ya que, para fortalecer la oferta de servicios de justicia en la ciudad, la Dirección llevó a cabo un análisis para dar viabilidad de la apertura de una Casa de Justicia en la localidad de Puente Aranda. En razón a lo anterior, se definió que el servicio será prestado donde actualmente funciona la Unidad Permanente de Justicia (UPJ), con el propósito de que este espacio pueda consolidarse como un Centro Integrado de Justicia que garantice el acceso a la justicia en la ciudad, toda vez que dicho equipamiento incluirá:</w:t>
            </w:r>
            <w:r w:rsidRPr="00B3694F">
              <w:rPr>
                <w:rFonts w:ascii="Arial" w:hAnsi="Arial" w:cs="Arial"/>
                <w:sz w:val="16"/>
                <w:szCs w:val="16"/>
                <w:lang w:eastAsia="es-CO"/>
              </w:rPr>
              <w:br/>
              <w:t xml:space="preserve">• </w:t>
            </w:r>
            <w:r w:rsidRPr="00B3694F">
              <w:rPr>
                <w:rFonts w:ascii="Arial" w:hAnsi="Arial" w:cs="Arial"/>
                <w:b/>
                <w:bCs/>
                <w:sz w:val="16"/>
                <w:szCs w:val="16"/>
                <w:lang w:eastAsia="es-CO"/>
              </w:rPr>
              <w:t>Unidad de Reacción Inmediata - URI</w:t>
            </w:r>
            <w:r w:rsidRPr="00B3694F">
              <w:rPr>
                <w:rFonts w:ascii="Arial" w:hAnsi="Arial" w:cs="Arial"/>
                <w:sz w:val="16"/>
                <w:szCs w:val="16"/>
                <w:lang w:eastAsia="es-CO"/>
              </w:rPr>
              <w:t>: Actualmente en operación en la Unidad Permanente de Justicia</w:t>
            </w:r>
            <w:r w:rsidRPr="00B3694F">
              <w:rPr>
                <w:rFonts w:ascii="Arial" w:hAnsi="Arial" w:cs="Arial"/>
                <w:sz w:val="16"/>
                <w:szCs w:val="16"/>
                <w:lang w:eastAsia="es-CO"/>
              </w:rPr>
              <w:br/>
              <w:t xml:space="preserve">• </w:t>
            </w:r>
            <w:r w:rsidRPr="00B3694F">
              <w:rPr>
                <w:rFonts w:ascii="Arial" w:hAnsi="Arial" w:cs="Arial"/>
                <w:b/>
                <w:bCs/>
                <w:sz w:val="16"/>
                <w:szCs w:val="16"/>
                <w:lang w:eastAsia="es-CO"/>
              </w:rPr>
              <w:t>Centro de Traslado por Protección – CTP</w:t>
            </w:r>
            <w:r w:rsidRPr="00B3694F">
              <w:rPr>
                <w:rFonts w:ascii="Arial" w:hAnsi="Arial" w:cs="Arial"/>
                <w:sz w:val="16"/>
                <w:szCs w:val="16"/>
                <w:lang w:eastAsia="es-CO"/>
              </w:rPr>
              <w:t>: Actualmente en operación en la Unidad Permanente de Justicia</w:t>
            </w:r>
            <w:r w:rsidRPr="00B3694F">
              <w:rPr>
                <w:rFonts w:ascii="Arial" w:hAnsi="Arial" w:cs="Arial"/>
                <w:sz w:val="16"/>
                <w:szCs w:val="16"/>
                <w:lang w:eastAsia="es-CO"/>
              </w:rPr>
              <w:br/>
              <w:t xml:space="preserve">• </w:t>
            </w:r>
            <w:r w:rsidRPr="00B3694F">
              <w:rPr>
                <w:rFonts w:ascii="Arial" w:hAnsi="Arial" w:cs="Arial"/>
                <w:b/>
                <w:bCs/>
                <w:sz w:val="16"/>
                <w:szCs w:val="16"/>
                <w:lang w:eastAsia="es-CO"/>
              </w:rPr>
              <w:t>Casa de Justicia:</w:t>
            </w:r>
            <w:r w:rsidRPr="00B3694F">
              <w:rPr>
                <w:rFonts w:ascii="Arial" w:hAnsi="Arial" w:cs="Arial"/>
                <w:sz w:val="16"/>
                <w:szCs w:val="16"/>
                <w:lang w:eastAsia="es-CO"/>
              </w:rPr>
              <w:t xml:space="preserve"> Que contará con un equipo de trabajo robusto que garantizará a la ciudadanía orientación desde los perfiles de recepción y CRI, así como la atención y promoción de los métodos alternativos para la resolución de sus conflictos desde la Unidad de Mediación y Conciliación. Este equipamiento contará con la articulación de entidades que actualmente operan en la UPJ como la Fiscalía General de la Nación, la Secretaría Distrital de Gobierno, a través de las Inspecciones de Policía, la Defensoría del Pueblo y la Personería de Bogotá, Medicina Legal, Consejo Superior de la Judicatura, entre otros. Desde lo local, la articulación se fortalecerá con la Alcaldía Local y los Actores de Justicia Comunitaria que prestan sus servicios allí. </w:t>
            </w:r>
            <w:r w:rsidRPr="00B3694F">
              <w:rPr>
                <w:rFonts w:ascii="Arial" w:hAnsi="Arial" w:cs="Arial"/>
                <w:sz w:val="16"/>
                <w:szCs w:val="16"/>
                <w:lang w:eastAsia="es-CO"/>
              </w:rPr>
              <w:br/>
              <w:t>Con esta acción se pretende fortalecer el acceso a la justicia de la ciudadanía que transita la localidad y que adicionalmente hace uso de los servicios ofertados actualmente en la UPJ, para garantizar así, que la oferta de servicios, capacitaciones, articulación, desarrollo operativo, entre otras, contribuyan a la consolidación del Sistema Distrital de Justicia en Bogotá.</w:t>
            </w:r>
            <w:r w:rsidRPr="00B3694F">
              <w:rPr>
                <w:rFonts w:ascii="Arial" w:hAnsi="Arial" w:cs="Arial"/>
                <w:sz w:val="16"/>
                <w:szCs w:val="16"/>
                <w:lang w:eastAsia="es-CO"/>
              </w:rPr>
              <w:br/>
            </w:r>
            <w:r w:rsidRPr="00B3694F">
              <w:rPr>
                <w:rFonts w:ascii="Arial" w:hAnsi="Arial" w:cs="Arial"/>
                <w:b/>
                <w:bCs/>
                <w:sz w:val="16"/>
                <w:szCs w:val="16"/>
                <w:lang w:eastAsia="es-CO"/>
              </w:rPr>
              <w:t>Centro Integral de Justicia- CIJ Campo Verde</w:t>
            </w:r>
            <w:r w:rsidRPr="00B3694F">
              <w:rPr>
                <w:rFonts w:ascii="Arial" w:hAnsi="Arial" w:cs="Arial"/>
                <w:sz w:val="16"/>
                <w:szCs w:val="16"/>
                <w:lang w:eastAsia="es-CO"/>
              </w:rPr>
              <w:t xml:space="preserve"> (Avance del 26% de 50%)</w:t>
            </w:r>
            <w:r w:rsidRPr="00B3694F">
              <w:rPr>
                <w:rFonts w:ascii="Arial" w:hAnsi="Arial" w:cs="Arial"/>
                <w:sz w:val="16"/>
                <w:szCs w:val="16"/>
                <w:lang w:eastAsia="es-CO"/>
              </w:rPr>
              <w:br/>
              <w:t>La Secretaría avanzó con el DADEP para la entrega de un predio del Distrito, en el cual se pudiera avanzar de forma segura en el diseño y construcción del CAE para población del SRPA, el cual se ubica en la localidad de Bosa, en el Plan Parcial Campo Verde. Resulta conveniente precisar la composición del proyecto Campo verde, para señalar que éste se conforma por dos fases, las cuales son diseños-estudios y Construcción.</w:t>
            </w:r>
            <w:r w:rsidRPr="00B3694F">
              <w:rPr>
                <w:rFonts w:ascii="Arial" w:hAnsi="Arial" w:cs="Arial"/>
                <w:sz w:val="16"/>
                <w:szCs w:val="16"/>
                <w:lang w:eastAsia="es-CO"/>
              </w:rPr>
              <w:br/>
              <w:t>Diseños-estudios Campo Verde (Avance 100%)</w:t>
            </w:r>
            <w:r w:rsidRPr="00B3694F">
              <w:rPr>
                <w:rFonts w:ascii="Arial" w:hAnsi="Arial" w:cs="Arial"/>
                <w:sz w:val="16"/>
                <w:szCs w:val="16"/>
                <w:lang w:eastAsia="es-CO"/>
              </w:rPr>
              <w:br/>
              <w:t xml:space="preserve">La Subsecretaría de Inversiones y Fortalecimiento de Capacidades Operativas, celebró el contrato No. 671 de 2018 para la consultoría integral de los estudios, diseños y obtención de licencias y permisos requeridos para la construcción del centro integral de justicia ubicado en la localidad de Bosa. Actualmente se está a la espera la entrega de la licencia de construcción por parte de la Curaduría. </w:t>
            </w:r>
            <w:r w:rsidRPr="00B3694F">
              <w:rPr>
                <w:rFonts w:ascii="Arial" w:hAnsi="Arial" w:cs="Arial"/>
                <w:sz w:val="16"/>
                <w:szCs w:val="16"/>
                <w:lang w:eastAsia="es-CO"/>
              </w:rPr>
              <w:br/>
              <w:t>Entre los productos o entregables más representativos del contrato de Consultoría No. 671 del 2018, por productos y/o componentes, se encuentran los siguientes:</w:t>
            </w:r>
          </w:p>
          <w:p w:rsidR="002E0574" w:rsidRPr="00B3694F" w:rsidRDefault="002E0574" w:rsidP="007B005E">
            <w:pPr>
              <w:spacing w:after="0" w:line="240" w:lineRule="auto"/>
              <w:rPr>
                <w:rFonts w:ascii="Arial" w:hAnsi="Arial" w:cs="Arial"/>
                <w:sz w:val="16"/>
                <w:szCs w:val="16"/>
                <w:lang w:eastAsia="es-CO"/>
              </w:rPr>
            </w:pPr>
            <w:r w:rsidRPr="00B3694F">
              <w:rPr>
                <w:rFonts w:ascii="Arial" w:hAnsi="Arial" w:cs="Arial"/>
                <w:sz w:val="16"/>
                <w:szCs w:val="16"/>
                <w:lang w:eastAsia="es-CO"/>
              </w:rPr>
              <w:lastRenderedPageBreak/>
              <w:br/>
              <w:t>- Anteproyecto (100%), - Diseño Arquitectónico (100%), - Diseños y cálculos estructurales (100%), - Diseño y cálculo de redes eléctricas e iluminación (100%), - Diseño y cálculo de redes de seguridad, control, voz y datos (100%), - Diseño y cálculo de sistema de ventilación mecánica y aire , condicionado (100%), - Diseño de redes hidrosanitarias y de gas + Redes contra incendio (100%), - Diseño y cálculo de sistemas de circulación vertical, equipos de ascensores (100%), - Diseño paisajístico y de espacio público (100%), - Diseño bioclimático (100%), - Diseño de señalización (100%)</w:t>
            </w:r>
            <w:r w:rsidRPr="00B3694F">
              <w:rPr>
                <w:rFonts w:ascii="Arial" w:hAnsi="Arial" w:cs="Arial"/>
                <w:sz w:val="16"/>
                <w:szCs w:val="16"/>
                <w:lang w:eastAsia="es-CO"/>
              </w:rPr>
              <w:br/>
              <w:t>- Diseño de oficina abierta (100%), - Presupuesto y Programación de obra (100%)</w:t>
            </w:r>
            <w:r w:rsidRPr="00B3694F">
              <w:rPr>
                <w:rFonts w:ascii="Arial" w:hAnsi="Arial" w:cs="Arial"/>
                <w:sz w:val="16"/>
                <w:szCs w:val="16"/>
                <w:lang w:eastAsia="es-CO"/>
              </w:rPr>
              <w:br/>
              <w:t xml:space="preserve">Precisado lo anterior, el contrato de consultoría No. 671 de 2018 tiene por objeto efectuar la “Consultoría integral de los estudios, diseños y obtención de licencias y permisos requeridos para la construcción del Centro de Atención Especializada y Centro Integral de Justicia Ubicado en la local de Bosa, Plan Parcial Campo Verde”, cuya fase de ejecución final se encuentra adelantada, y los productos, resultado de los estudios y diseños, ya se encuentran finalizados. </w:t>
            </w:r>
            <w:r w:rsidRPr="00B3694F">
              <w:rPr>
                <w:rFonts w:ascii="Arial" w:hAnsi="Arial" w:cs="Arial"/>
                <w:sz w:val="16"/>
                <w:szCs w:val="16"/>
                <w:lang w:eastAsia="es-CO"/>
              </w:rPr>
              <w:br/>
              <w:t xml:space="preserve">El (13) trece de agosto de 2019, se recibe por parte de la Curaduría Urbana No 1, el acto administrativo el cual refiere a la entrega de la Licencia de Construcción ejecutoriada en la modalidad de Obra Nueva. </w:t>
            </w:r>
            <w:r w:rsidRPr="00B3694F">
              <w:rPr>
                <w:rFonts w:ascii="Arial" w:hAnsi="Arial" w:cs="Arial"/>
                <w:sz w:val="16"/>
                <w:szCs w:val="16"/>
                <w:lang w:eastAsia="es-CO"/>
              </w:rPr>
              <w:br/>
              <w:t>Aprobación Plan de Implantación por parte de la Secretaria Distrital de Planeación: mediante acto administrativo (Resolución No. 2712 del 06-dic.-2019 por el cual se adopta el Plan de Implantación CiJ y CAE Campo Verde); Con lo anterior, finaliza la ejecución del contrato de consultoría No. 671 de 2018 y el contrato de Interventoría No. 689 de 2018, para un 100% de ejecución.</w:t>
            </w:r>
          </w:p>
        </w:tc>
      </w:tr>
      <w:tr w:rsidR="00D21665" w:rsidRPr="00F948EE" w:rsidTr="000445F8">
        <w:trPr>
          <w:trHeight w:val="819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lastRenderedPageBreak/>
              <w:t>7510</w:t>
            </w:r>
          </w:p>
        </w:tc>
        <w:tc>
          <w:tcPr>
            <w:tcW w:w="330" w:type="pct"/>
            <w:tcBorders>
              <w:top w:val="nil"/>
              <w:left w:val="nil"/>
              <w:bottom w:val="nil"/>
              <w:right w:val="nil"/>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8</w:t>
            </w:r>
          </w:p>
        </w:tc>
        <w:tc>
          <w:tcPr>
            <w:tcW w:w="472"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Diseñar e implementar 2 Centros de Atención Especializada Para sanción privativa de la libertad</w:t>
            </w:r>
          </w:p>
        </w:tc>
        <w:tc>
          <w:tcPr>
            <w:tcW w:w="2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1,35</w:t>
            </w:r>
          </w:p>
        </w:tc>
        <w:tc>
          <w:tcPr>
            <w:tcW w:w="566"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99.567.576 </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 </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99.567.576 </w:t>
            </w:r>
          </w:p>
        </w:tc>
        <w:tc>
          <w:tcPr>
            <w:tcW w:w="2213" w:type="pct"/>
            <w:tcBorders>
              <w:top w:val="single" w:sz="4" w:space="0" w:color="auto"/>
              <w:left w:val="single" w:sz="4" w:space="0" w:color="auto"/>
              <w:bottom w:val="single" w:sz="4" w:space="0" w:color="auto"/>
              <w:right w:val="single" w:sz="4" w:space="0" w:color="auto"/>
            </w:tcBorders>
            <w:shd w:val="clear" w:color="auto" w:fill="auto"/>
            <w:hideMark/>
          </w:tcPr>
          <w:p w:rsidR="002E0574" w:rsidRPr="00B3694F" w:rsidRDefault="002E0574" w:rsidP="000315D6">
            <w:pPr>
              <w:spacing w:after="240" w:line="240" w:lineRule="auto"/>
              <w:rPr>
                <w:rFonts w:ascii="Arial" w:hAnsi="Arial" w:cs="Arial"/>
                <w:sz w:val="16"/>
                <w:szCs w:val="16"/>
                <w:lang w:eastAsia="es-CO"/>
              </w:rPr>
            </w:pPr>
            <w:r w:rsidRPr="00B3694F">
              <w:rPr>
                <w:rFonts w:ascii="Arial" w:hAnsi="Arial" w:cs="Arial"/>
                <w:sz w:val="16"/>
                <w:szCs w:val="16"/>
                <w:lang w:eastAsia="es-CO"/>
              </w:rPr>
              <w:t xml:space="preserve">Conforme lo establecido en el Plan de Desarrollo Distrital (Tomo I Pág. 286), la meta relacionada con los Centros de Atención Especializada, está orientada a la construcción de un nuevo Centro de Atención Especializada para sanción privativa de la libertad en el sector rural y el mejoramiento de la infraestructura de los CAE que se encuentran a cargo del Distrito. Para ello de junio 2016 a 31 de diciembre del 2019, se tiene un avance del 51%, sustentado por lo siguiente: </w:t>
            </w:r>
            <w:r w:rsidRPr="00B3694F">
              <w:rPr>
                <w:rFonts w:ascii="Arial" w:hAnsi="Arial" w:cs="Arial"/>
                <w:sz w:val="16"/>
                <w:szCs w:val="16"/>
                <w:lang w:eastAsia="es-CO"/>
              </w:rPr>
              <w:br/>
              <w:t>1.</w:t>
            </w:r>
            <w:r w:rsidRPr="00B3694F">
              <w:rPr>
                <w:rFonts w:ascii="Arial" w:hAnsi="Arial" w:cs="Arial"/>
                <w:b/>
                <w:bCs/>
                <w:sz w:val="16"/>
                <w:szCs w:val="16"/>
                <w:lang w:eastAsia="es-CO"/>
              </w:rPr>
              <w:t xml:space="preserve"> Centro de Atención Especializada- CAE</w:t>
            </w:r>
            <w:r w:rsidRPr="00B3694F">
              <w:rPr>
                <w:rFonts w:ascii="Arial" w:hAnsi="Arial" w:cs="Arial"/>
                <w:sz w:val="16"/>
                <w:szCs w:val="16"/>
                <w:lang w:eastAsia="es-CO"/>
              </w:rPr>
              <w:t xml:space="preserve"> Campo Verde (Avance del 28% de75%).  La Secretaría avanzó con el DADEP para la entrega de un predio del Distrito, en el cual se pudiera avanzar de forma segura en el diseño y construcción del CAE para población del SRPA, el cual se ubica en la localidad de Bosa, en el Plan Parcial Campo Verde. Resulta conveniente precisar la composición del proyecto Campo verde, para señalar que éste se conforma por dos fases, las cuales son diseños-estudios y Construcción.</w:t>
            </w:r>
            <w:r w:rsidRPr="00B3694F">
              <w:rPr>
                <w:rFonts w:ascii="Arial" w:hAnsi="Arial" w:cs="Arial"/>
                <w:sz w:val="16"/>
                <w:szCs w:val="16"/>
                <w:lang w:eastAsia="es-CO"/>
              </w:rPr>
              <w:br/>
              <w:t xml:space="preserve">Diseños-estudios Campo Verde: La Subsecretaría de Inversiones y Fortalecimiento de Capacidades Operativas, celebró el contrato No. 671 de 2018 para la consultoría integral de los estudios, diseños y obtención de licencias y permisos requeridos para la construcción del centro integral de justicia ubicado en la localidad de Bosa. Actualmente se está a la espera la entrega de la licencia de construcción por parte de la Curaduría. </w:t>
            </w:r>
            <w:r w:rsidRPr="00B3694F">
              <w:rPr>
                <w:rFonts w:ascii="Arial" w:hAnsi="Arial" w:cs="Arial"/>
                <w:sz w:val="16"/>
                <w:szCs w:val="16"/>
                <w:lang w:eastAsia="es-CO"/>
              </w:rPr>
              <w:br/>
              <w:t>Entre los productos o entregables más representativos del contrato de Consultoría No. 671 del 2018, por productos y/o componentes, se encuentran los siguientes:</w:t>
            </w:r>
            <w:r w:rsidRPr="00B3694F">
              <w:rPr>
                <w:rFonts w:ascii="Arial" w:hAnsi="Arial" w:cs="Arial"/>
                <w:sz w:val="16"/>
                <w:szCs w:val="16"/>
                <w:lang w:eastAsia="es-CO"/>
              </w:rPr>
              <w:br/>
              <w:t>- Anteproyecto (100%), - Diseño Arquitectónico (100%), - Diseños y cálculos estructurales (100%), - Diseño y cálculo de redes eléctricas e iluminación (100%), - Diseño y cálculo de redes de seguridad, control, voz y datos (100%), - Diseño y cálculo de sistema d</w:t>
            </w:r>
            <w:r>
              <w:rPr>
                <w:rFonts w:ascii="Arial" w:hAnsi="Arial" w:cs="Arial"/>
                <w:sz w:val="16"/>
                <w:szCs w:val="16"/>
                <w:lang w:eastAsia="es-CO"/>
              </w:rPr>
              <w:t>e ventilación mecánica y aire, aco</w:t>
            </w:r>
            <w:r w:rsidRPr="00B3694F">
              <w:rPr>
                <w:rFonts w:ascii="Arial" w:hAnsi="Arial" w:cs="Arial"/>
                <w:sz w:val="16"/>
                <w:szCs w:val="16"/>
                <w:lang w:eastAsia="es-CO"/>
              </w:rPr>
              <w:t>ndicionado (100%), - Diseño de redes hidrosanitarias y de gas + Redes contra incendio (100%), - Diseño y cálculo de sistemas de circulación vertical, equipos de ascensores (100%), - Diseño paisajístico y de espacio público (100%), - Diseño bioclimático (100%), - Diseño de señalización (100%), - Diseño de oficina abierta (100%), - Presupuesto y Programación de obra (100%)</w:t>
            </w:r>
            <w:r w:rsidRPr="00B3694F">
              <w:rPr>
                <w:rFonts w:ascii="Arial" w:hAnsi="Arial" w:cs="Arial"/>
                <w:sz w:val="16"/>
                <w:szCs w:val="16"/>
                <w:lang w:eastAsia="es-CO"/>
              </w:rPr>
              <w:br/>
              <w:t xml:space="preserve">Precisado lo anterior, el contrato de consultoría No. 671 de 2018 tiene por objeto efectuar la “Consultoría integral de los estudios, diseños y obtención de licencias y permisos requeridos para la construcción del Centro de Atención Especializada y Centro Integral de Justicia Ubicado en la local de Bosa, Plan Parcial Campo Verde”, cuya fase de ejecución final se encuentra adelantada, y los productos, resultado de los estudios y diseños, ya se encuentran finalizados. </w:t>
            </w:r>
            <w:r w:rsidRPr="00B3694F">
              <w:rPr>
                <w:rFonts w:ascii="Arial" w:hAnsi="Arial" w:cs="Arial"/>
                <w:sz w:val="16"/>
                <w:szCs w:val="16"/>
                <w:lang w:eastAsia="es-CO"/>
              </w:rPr>
              <w:br/>
              <w:t xml:space="preserve">El (13) trece de agosto de 2019, se recibe por parte de la Curaduría Urbana No 1, el acto administrativo el cual refiere a la entrega de la Licencia de Construcción ejecutoriada en la modalidad de Obra Nueva. </w:t>
            </w:r>
            <w:r w:rsidRPr="00B3694F">
              <w:rPr>
                <w:rFonts w:ascii="Arial" w:hAnsi="Arial" w:cs="Arial"/>
                <w:sz w:val="16"/>
                <w:szCs w:val="16"/>
                <w:lang w:eastAsia="es-CO"/>
              </w:rPr>
              <w:br/>
              <w:t>Aprobación Plan de Implantación por parte de la Secretaria Distrital de Planeación: mediante acto administrativo (Resolución No. 2712 del 06-dic.-2019 por el cual se adopta el Plan de Implantación CiJ y CAE Campo Verde); Con lo anterior, finaliza la ejecución del contrato de consultoría No. 671 de 2018 y el contrato de Interventoría No. 689 de 2018, para un 100% de ejecución.</w:t>
            </w:r>
            <w:r w:rsidRPr="00B3694F">
              <w:rPr>
                <w:rFonts w:ascii="Arial" w:hAnsi="Arial" w:cs="Arial"/>
                <w:sz w:val="16"/>
                <w:szCs w:val="16"/>
                <w:lang w:eastAsia="es-CO"/>
              </w:rPr>
              <w:br/>
            </w:r>
            <w:r w:rsidRPr="00B3694F">
              <w:rPr>
                <w:rFonts w:ascii="Arial" w:hAnsi="Arial" w:cs="Arial"/>
                <w:b/>
                <w:bCs/>
                <w:sz w:val="16"/>
                <w:szCs w:val="16"/>
                <w:lang w:eastAsia="es-CO"/>
              </w:rPr>
              <w:t xml:space="preserve">Construcción Campo Verde (Avance del 0,5%).  </w:t>
            </w:r>
            <w:r w:rsidRPr="00B3694F">
              <w:rPr>
                <w:rFonts w:ascii="Arial" w:hAnsi="Arial" w:cs="Arial"/>
                <w:sz w:val="16"/>
                <w:szCs w:val="16"/>
                <w:lang w:eastAsia="es-CO"/>
              </w:rPr>
              <w:t>El 24 de diciembre de 2018 la Secretaría Distrital de Seguridad Convivencia y Justicia suscribió el Contrato Interadministrativo No. 1153 cuyo objeto es “Realizar la asistencia técnica integral en la formulación, estructuración y ejecución del proyecto de infraestructura del Centro Integral de Justicia y Centro Especializado para Atención de menores – Campo Verde, ubicado en la localidad de Bosa en la ciudad de Bogotá D.C.”</w:t>
            </w:r>
            <w:r w:rsidRPr="00B3694F">
              <w:rPr>
                <w:rFonts w:ascii="Arial" w:hAnsi="Arial" w:cs="Arial"/>
                <w:sz w:val="16"/>
                <w:szCs w:val="16"/>
                <w:lang w:eastAsia="es-CO"/>
              </w:rPr>
              <w:br/>
            </w:r>
            <w:r w:rsidRPr="00B3694F">
              <w:rPr>
                <w:rFonts w:ascii="Arial" w:hAnsi="Arial" w:cs="Arial"/>
                <w:sz w:val="16"/>
                <w:szCs w:val="16"/>
                <w:lang w:eastAsia="es-CO"/>
              </w:rPr>
              <w:lastRenderedPageBreak/>
              <w:t>El proyecto, objeto del Contrato Interadministrativo No. 1153 de 2018, se desarrolla en tres etapas, así:</w:t>
            </w:r>
            <w:r w:rsidR="00E12D44">
              <w:rPr>
                <w:rFonts w:ascii="Arial" w:hAnsi="Arial" w:cs="Arial"/>
                <w:sz w:val="16"/>
                <w:szCs w:val="16"/>
                <w:lang w:eastAsia="es-CO"/>
              </w:rPr>
              <w:t xml:space="preserve">  </w:t>
            </w:r>
            <w:r w:rsidRPr="00B3694F">
              <w:rPr>
                <w:rFonts w:ascii="Arial" w:hAnsi="Arial" w:cs="Arial"/>
                <w:sz w:val="16"/>
                <w:szCs w:val="16"/>
                <w:lang w:eastAsia="es-CO"/>
              </w:rPr>
              <w:t>ETAPA No. 1 – FORMULACIÓN (Avance 100%): En esta etapa se adelantó el acompañamiento por parte de FINDETER a la SDSCJ en la revisión de los estudios, diseños, componentes etc., adelantados por el Consorcio Campo Verde mediante Contrato de Consultoría No. 671 de 2018, con el fin verificar que los productos se ajusten los parámetros de presentación y contenido, al manual operativo de FINDETER. El objetivo de esta fase es verificar que las especificaciones técnicas se ajusten al presupuesto “Evaluando FINDETER los componentes del proyecto presentado por el Consorcio Campo Verde mediante Contrato de Consultoría No. 671 de 2018, con el fin de emitir un concepto que permita evaluar las condiciones técnicas, financieras y legales del mismo”</w:t>
            </w:r>
            <w:r w:rsidRPr="00B3694F">
              <w:rPr>
                <w:rFonts w:ascii="Arial" w:hAnsi="Arial" w:cs="Arial"/>
                <w:sz w:val="16"/>
                <w:szCs w:val="16"/>
                <w:lang w:eastAsia="es-CO"/>
              </w:rPr>
              <w:br/>
              <w:t>Mediante el radicado No. 2019-541-060446-1 del 27-Sept-2019, FINDETER emitió concepto, así:</w:t>
            </w:r>
            <w:r w:rsidR="00D02B3D">
              <w:rPr>
                <w:rFonts w:ascii="Arial" w:hAnsi="Arial" w:cs="Arial"/>
                <w:sz w:val="16"/>
                <w:szCs w:val="16"/>
                <w:lang w:eastAsia="es-CO"/>
              </w:rPr>
              <w:t xml:space="preserve">  </w:t>
            </w:r>
            <w:r w:rsidRPr="00B3694F">
              <w:rPr>
                <w:rFonts w:ascii="Arial" w:hAnsi="Arial" w:cs="Arial"/>
                <w:sz w:val="16"/>
                <w:szCs w:val="16"/>
                <w:lang w:eastAsia="es-CO"/>
              </w:rPr>
              <w:t>“(…) atendiendo esta obligación, se adelantó la revisión y verificación sobre la coherencia, completitud y cumplimiento de los estudios y diseños contratados por la Secretaría Distrital de Seguridad, Convivencia y Justicia, concluyendo que dichos productos cumplen con las condiciones técnicas, financieras y legales para adelantar los procesos precontractuales y de selección del Contratista de Obras e Interventoría aplicables a este tipo de proyectos, y que, en efecto, está en curso actualmente.</w:t>
            </w:r>
            <w:r w:rsidR="00E12D44">
              <w:rPr>
                <w:rFonts w:ascii="Arial" w:hAnsi="Arial" w:cs="Arial"/>
                <w:sz w:val="16"/>
                <w:szCs w:val="16"/>
                <w:lang w:eastAsia="es-CO"/>
              </w:rPr>
              <w:t xml:space="preserve">  </w:t>
            </w:r>
            <w:r w:rsidRPr="00B3694F">
              <w:rPr>
                <w:rFonts w:ascii="Arial" w:hAnsi="Arial" w:cs="Arial"/>
                <w:sz w:val="16"/>
                <w:szCs w:val="16"/>
                <w:lang w:eastAsia="es-CO"/>
              </w:rPr>
              <w:t>- ETAPA No. 2 – ESTRUCTURACIÓN (Avance 100%):  En esta etapa Actualmente se cuenta con licencia de construcción expedida por la curaduría y contratos de obra e interventoría suscritos. En donde se precisa que el (13) trece de agosto de 2019, se recibe por parte de la Curaduría Urbana No 1, el acto administrativo el cual refiere a la entrega de la Licencia de Construcción ejecutoriada en la modalidad de Obra Nueva, mediante el Acto Administrativo No. 11001-1-19-1831, se procede a la apertura de los procesos de contratación de obras e Interventoría para la “CONSTRUCCIÓN Y PUESTA EN FUNCIONAMIENTO DEL CENTRO INTEGRAL DE JUSTICIA Y CENTRO DE ATENCIÓN ESPECIALIZADO - CAMPO VERDE UBICADO EN LA LOCALIDAD DE BOSA, BOGOTÁ D.C”.</w:t>
            </w:r>
            <w:r w:rsidR="00E12D44">
              <w:rPr>
                <w:rFonts w:ascii="Arial" w:hAnsi="Arial" w:cs="Arial"/>
                <w:sz w:val="16"/>
                <w:szCs w:val="16"/>
                <w:lang w:eastAsia="es-CO"/>
              </w:rPr>
              <w:t xml:space="preserve">  F</w:t>
            </w:r>
            <w:r w:rsidRPr="00B3694F">
              <w:rPr>
                <w:rFonts w:ascii="Arial" w:hAnsi="Arial" w:cs="Arial"/>
                <w:sz w:val="16"/>
                <w:szCs w:val="16"/>
                <w:lang w:eastAsia="es-CO"/>
              </w:rPr>
              <w:t xml:space="preserve">INDETER el 15-agosto-2019, dio apertura a los PROCESOS DE CONTRATACION DE OBRA y de INTERVENTORIA, para la CONSTRUCCION DEL CENTRO INTEGRAL DE JUSTICIA (CIJ) y CENTRO DE ATENCIÓN ESPECIALIZADO (CAE) CAMPO VERDE, ubicado en la Localidad de Bosa, Bogotá D.C.; Los Links de los procesos de selección, </w:t>
            </w:r>
            <w:r w:rsidRPr="0078439F">
              <w:rPr>
                <w:rFonts w:ascii="Arial" w:hAnsi="Arial" w:cs="Arial"/>
                <w:sz w:val="16"/>
                <w:szCs w:val="16"/>
                <w:lang w:eastAsia="es-CO"/>
              </w:rPr>
              <w:t xml:space="preserve">son:  Obra: </w:t>
            </w:r>
            <w:r w:rsidR="00E12D44" w:rsidRPr="0078439F">
              <w:rPr>
                <w:rFonts w:ascii="Arial" w:hAnsi="Arial" w:cs="Arial"/>
                <w:sz w:val="16"/>
                <w:szCs w:val="16"/>
                <w:lang w:eastAsia="es-CO"/>
              </w:rPr>
              <w:t xml:space="preserve"> </w:t>
            </w:r>
            <w:r w:rsidR="000315D6" w:rsidRPr="0078439F">
              <w:rPr>
                <w:rFonts w:ascii="Arial" w:hAnsi="Arial" w:cs="Arial"/>
                <w:sz w:val="16"/>
                <w:szCs w:val="16"/>
                <w:lang w:eastAsia="es-CO"/>
              </w:rPr>
              <w:t>h</w:t>
            </w:r>
            <w:r w:rsidRPr="0078439F">
              <w:rPr>
                <w:rFonts w:ascii="Arial" w:hAnsi="Arial" w:cs="Arial"/>
                <w:sz w:val="16"/>
                <w:szCs w:val="16"/>
                <w:lang w:eastAsia="es-CO"/>
              </w:rPr>
              <w:t>ttps://www.findeter.gov.co/loader.php?lServicio=Convocatoria&amp;lTipo=consulta&amp;lFuncion=info&amp;NumProceso=PAF-SDSJC-O-034-2019</w:t>
            </w:r>
            <w:r w:rsidRPr="0078439F">
              <w:rPr>
                <w:rFonts w:ascii="Arial" w:hAnsi="Arial" w:cs="Arial"/>
                <w:sz w:val="16"/>
                <w:szCs w:val="16"/>
                <w:lang w:eastAsia="es-CO"/>
              </w:rPr>
              <w:br/>
              <w:t xml:space="preserve">Interventoría: </w:t>
            </w:r>
            <w:r w:rsidR="00D02B3D" w:rsidRPr="0078439F">
              <w:rPr>
                <w:rFonts w:ascii="Arial" w:hAnsi="Arial" w:cs="Arial"/>
                <w:sz w:val="16"/>
                <w:szCs w:val="16"/>
                <w:lang w:eastAsia="es-CO"/>
              </w:rPr>
              <w:t xml:space="preserve"> h</w:t>
            </w:r>
            <w:r w:rsidRPr="0078439F">
              <w:rPr>
                <w:rFonts w:ascii="Arial" w:hAnsi="Arial" w:cs="Arial"/>
                <w:sz w:val="16"/>
                <w:szCs w:val="16"/>
                <w:lang w:eastAsia="es-CO"/>
              </w:rPr>
              <w:t>ttps://www.findeter.gov.co/loader.php?lServicio=Convocatoria&amp;lTipo=consulta&amp;lFuncion=info&amp;NumProceso=PAF-SDSCJ-I-033-2019</w:t>
            </w:r>
          </w:p>
        </w:tc>
      </w:tr>
      <w:tr w:rsidR="00D21665" w:rsidRPr="00F948EE" w:rsidTr="000445F8">
        <w:trPr>
          <w:trHeight w:val="7845"/>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lastRenderedPageBreak/>
              <w:t>7513</w:t>
            </w:r>
          </w:p>
        </w:tc>
        <w:tc>
          <w:tcPr>
            <w:tcW w:w="330" w:type="pct"/>
            <w:tcBorders>
              <w:top w:val="single" w:sz="4" w:space="0" w:color="auto"/>
              <w:left w:val="nil"/>
              <w:bottom w:val="nil"/>
              <w:right w:val="nil"/>
            </w:tcBorders>
            <w:shd w:val="clear" w:color="auto" w:fill="auto"/>
            <w:noWrap/>
            <w:vAlign w:val="bottom"/>
            <w:hideMark/>
          </w:tcPr>
          <w:p w:rsidR="002E0574" w:rsidRPr="00B3694F" w:rsidRDefault="002E0574" w:rsidP="007B005E">
            <w:pPr>
              <w:spacing w:after="0" w:line="240" w:lineRule="auto"/>
              <w:rPr>
                <w:rFonts w:ascii="Arial" w:hAnsi="Arial" w:cs="Arial"/>
                <w:color w:val="000000"/>
                <w:sz w:val="16"/>
                <w:szCs w:val="16"/>
                <w:lang w:eastAsia="es-CO"/>
              </w:rPr>
            </w:pPr>
            <w:r w:rsidRPr="00B3694F">
              <w:rPr>
                <w:rFonts w:ascii="Arial" w:hAnsi="Arial" w:cs="Arial"/>
                <w:color w:val="000000"/>
                <w:sz w:val="16"/>
                <w:szCs w:val="16"/>
                <w:lang w:eastAsia="es-CO"/>
              </w:rPr>
              <w:t> </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w:t>
            </w:r>
          </w:p>
        </w:tc>
        <w:tc>
          <w:tcPr>
            <w:tcW w:w="472"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 xml:space="preserve">Implementar el100% del Modelo de Articulación de los operadores de justicia formal, no formal y comunitaria que operan en la ciudad. </w:t>
            </w:r>
          </w:p>
        </w:tc>
        <w:tc>
          <w:tcPr>
            <w:tcW w:w="2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20%</w:t>
            </w:r>
          </w:p>
        </w:tc>
        <w:tc>
          <w:tcPr>
            <w:tcW w:w="566"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               762.109.193   </w:t>
            </w: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17%</w:t>
            </w:r>
          </w:p>
        </w:tc>
        <w:tc>
          <w:tcPr>
            <w:tcW w:w="568" w:type="pct"/>
            <w:tcBorders>
              <w:top w:val="single" w:sz="4" w:space="0" w:color="auto"/>
              <w:left w:val="nil"/>
              <w:bottom w:val="single" w:sz="4" w:space="0" w:color="auto"/>
              <w:right w:val="single" w:sz="4" w:space="0" w:color="auto"/>
            </w:tcBorders>
            <w:shd w:val="clear" w:color="000000" w:fill="FFFFFF"/>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              711.536.793   </w:t>
            </w:r>
          </w:p>
        </w:tc>
        <w:tc>
          <w:tcPr>
            <w:tcW w:w="2213" w:type="pct"/>
            <w:tcBorders>
              <w:top w:val="single" w:sz="4" w:space="0" w:color="auto"/>
              <w:left w:val="single" w:sz="4" w:space="0" w:color="auto"/>
              <w:bottom w:val="single" w:sz="4" w:space="0" w:color="auto"/>
              <w:right w:val="single" w:sz="4" w:space="0" w:color="auto"/>
            </w:tcBorders>
            <w:shd w:val="clear" w:color="auto" w:fill="auto"/>
            <w:hideMark/>
          </w:tcPr>
          <w:p w:rsidR="002E0574" w:rsidRPr="00B3694F" w:rsidRDefault="002E0574" w:rsidP="007B005E">
            <w:pPr>
              <w:spacing w:after="0" w:line="240" w:lineRule="auto"/>
              <w:rPr>
                <w:rFonts w:ascii="Arial" w:hAnsi="Arial" w:cs="Arial"/>
                <w:sz w:val="16"/>
                <w:szCs w:val="16"/>
                <w:lang w:eastAsia="es-CO"/>
              </w:rPr>
            </w:pPr>
            <w:r w:rsidRPr="00B3694F">
              <w:rPr>
                <w:rFonts w:ascii="Arial" w:hAnsi="Arial" w:cs="Arial"/>
                <w:sz w:val="16"/>
                <w:szCs w:val="16"/>
                <w:lang w:eastAsia="es-CO"/>
              </w:rPr>
              <w:t>Con el ánimo de ampliar la oferta de servicios dispuestos a los ciudadanos en materia de acceso a la justicia, el pasado 06 de septiembre de 2019 se trasladó la sede de la Casa de Justicia de Suba Ciudad Jardín (ubicada en la carrera 59 No. 131a – 15) a un mejor equipamiento, ubicado en la calle 139 No. 98a – 26 el cual cuenta mejores condiciones de espacio y accesibilidad lo que permite una mejor prestación del servicio a la comunidad.</w:t>
            </w:r>
            <w:r w:rsidRPr="00B3694F">
              <w:rPr>
                <w:rFonts w:ascii="Arial" w:hAnsi="Arial" w:cs="Arial"/>
                <w:sz w:val="16"/>
                <w:szCs w:val="16"/>
                <w:lang w:eastAsia="es-CO"/>
              </w:rPr>
              <w:br/>
              <w:t>Dicho traslado permitió aumentar la oferta de servicios en las Casas de Justicia de la siguiente manera:</w:t>
            </w:r>
            <w:r w:rsidRPr="00B3694F">
              <w:rPr>
                <w:rFonts w:ascii="Arial" w:hAnsi="Arial" w:cs="Arial"/>
                <w:sz w:val="16"/>
                <w:szCs w:val="16"/>
                <w:lang w:eastAsia="es-CO"/>
              </w:rPr>
              <w:br/>
              <w:t>• Se aumenta en una Comisaría de Familia en la Casa de Suba Ponteveedra,</w:t>
            </w:r>
            <w:r w:rsidRPr="00B3694F">
              <w:rPr>
                <w:rFonts w:ascii="Arial" w:hAnsi="Arial" w:cs="Arial"/>
                <w:sz w:val="16"/>
                <w:szCs w:val="16"/>
                <w:lang w:eastAsia="es-CO"/>
              </w:rPr>
              <w:br/>
              <w:t xml:space="preserve">• Se amplía el servicio de mediación a la Casa de Justicia de Suba Ciudad Jardín. </w:t>
            </w:r>
            <w:r w:rsidRPr="00B3694F">
              <w:rPr>
                <w:rFonts w:ascii="Arial" w:hAnsi="Arial" w:cs="Arial"/>
                <w:sz w:val="16"/>
                <w:szCs w:val="16"/>
                <w:lang w:eastAsia="es-CO"/>
              </w:rPr>
              <w:br/>
              <w:t>Adicionalmente, desde la Dirección de Acceso a la Justicia se han venido adelantando actividades encaminadas al fortalecimiento de los equipamientos de justicia, tales como la intervención y mejoramiento físico de las oficinas del tercer y quinto piso de la Casa de Justicia de Usme, en la cual se retiró el tapete del suelo y se cambió por cerámica, así como, la intervención de los espacios de trabajo permitiendo la habilitación de oficinas que contribuyen al mejoramiento en los espacios para la operación de los funcionarios y la comodidad de los usuarios que acuden a los servicios brindados en dicho equipamiento.</w:t>
            </w:r>
            <w:r w:rsidRPr="00B3694F">
              <w:rPr>
                <w:rFonts w:ascii="Arial" w:hAnsi="Arial" w:cs="Arial"/>
                <w:sz w:val="16"/>
                <w:szCs w:val="16"/>
                <w:lang w:eastAsia="es-CO"/>
              </w:rPr>
              <w:br/>
              <w:t xml:space="preserve">De igual manera, durante la vigencia 2019 se dio inicio a la implementación de un modelo de salas de lectura infantiles en las salas de espera de todas las Casas de Justicia, con el objetivo de brindar  espacios amigables y cordiales a los menores de edad que acudan a los equipamientos de justicia. </w:t>
            </w:r>
            <w:r w:rsidRPr="00B3694F">
              <w:rPr>
                <w:rFonts w:ascii="Arial" w:hAnsi="Arial" w:cs="Arial"/>
                <w:sz w:val="16"/>
                <w:szCs w:val="16"/>
                <w:lang w:eastAsia="es-CO"/>
              </w:rPr>
              <w:br/>
              <w:t>Durante lo corrido del año 2019, se han realizado 680 jornadas de capacitación dirigidas a ciudadanos, con el ánimo de promover el empoderamiento de derechos en la ciudadanía desde el abordaje pacífico de conflictos y el uso de mecanismos institucionales de justicia.</w:t>
            </w:r>
            <w:r w:rsidRPr="00B3694F">
              <w:rPr>
                <w:rFonts w:ascii="Arial" w:hAnsi="Arial" w:cs="Arial"/>
                <w:sz w:val="16"/>
                <w:szCs w:val="16"/>
                <w:lang w:eastAsia="es-CO"/>
              </w:rPr>
              <w:br/>
              <w:t>Celebración del día del Actor de Justicia Comunitaria a nivel Distrital:</w:t>
            </w:r>
            <w:r w:rsidRPr="00B3694F">
              <w:rPr>
                <w:rFonts w:ascii="Arial" w:hAnsi="Arial" w:cs="Arial"/>
                <w:sz w:val="16"/>
                <w:szCs w:val="16"/>
                <w:lang w:eastAsia="es-CO"/>
              </w:rPr>
              <w:br/>
              <w:t>Con el fin de reconocer la labor adelantada por los AJC, quienes de manera comprometida trabajaron durante el año 2019 de manera articulada a la Estrategia de Fortalecimiento a los AJC promovida por esta Dirección, se adelantó un evento en el Centro Social de Agentes y Patrulleros, al cual asistieron 106 AJC.</w:t>
            </w:r>
            <w:r w:rsidRPr="00B3694F">
              <w:rPr>
                <w:rFonts w:ascii="Arial" w:hAnsi="Arial" w:cs="Arial"/>
                <w:sz w:val="16"/>
                <w:szCs w:val="16"/>
                <w:lang w:eastAsia="es-CO"/>
              </w:rPr>
              <w:br/>
              <w:t xml:space="preserve">La jornada buscó reconocer y exaltar la labor realizada por éstos durante el año 2019, teniendo en cuenta el cumplimiento de los compromisos adquiridos al adherirse a la Estrategia de Fortalecimiento. De igual manera, éste fue un espacio en el que logramos ofrecer un día de esparcimiento e integración entre AJC de distintas localidades, para fortalecer los lazos de hermandad y trabajo en equipo. </w:t>
            </w:r>
            <w:r w:rsidRPr="00B3694F">
              <w:rPr>
                <w:rFonts w:ascii="Arial" w:hAnsi="Arial" w:cs="Arial"/>
                <w:sz w:val="16"/>
                <w:szCs w:val="16"/>
                <w:lang w:eastAsia="es-CO"/>
              </w:rPr>
              <w:br/>
              <w:t xml:space="preserve">El evento se llevó a cabo el día 22 de noviembre del 2019, en el salón Simón Bolívar en el horario de 8:00 a.m. a 4:00 p.m. La agenda del día estuvo enmarcada por un saludo de bienvenida y la invitación realizar un recorrido por tres carpas donde se buscaba recordar los momentos importantes del voluntariado en este año a través de una exposición fotográfica. En otra de las carpas se buscó facilitar la integración mediante la posibilidad de tomarse fotos con mensajes alusivos a la conciliación en equidad. De manera simultánea se contó con la posibilidad de interactuar con la metodología creada por la Dirección de Responsabilidad Penal y Adolescente para el manejo de las emociones.  </w:t>
            </w:r>
            <w:r w:rsidRPr="00B3694F">
              <w:rPr>
                <w:rFonts w:ascii="Arial" w:hAnsi="Arial" w:cs="Arial"/>
                <w:sz w:val="16"/>
                <w:szCs w:val="16"/>
                <w:lang w:eastAsia="es-CO"/>
              </w:rPr>
              <w:br/>
              <w:t xml:space="preserve">Paralelo a las carpas, el evento contó con actividades lúdicas, presentación de grupos musicales y palabras de agradecimiento por parte de la Dirección, así como un almuerzo como parte central del evento. Mediante esta celebración se logró abrir un espacio de interacción entre los actores de justicia de las diferentes localidades logrando motivar la continuidad de la articulación de trabajo con esta Dirección y demostrar mediante este reconocimiento lo valioso que es para esta Dirección el trabajo que adelantan en las </w:t>
            </w:r>
            <w:r w:rsidRPr="00B3694F">
              <w:rPr>
                <w:rFonts w:ascii="Arial" w:hAnsi="Arial" w:cs="Arial"/>
                <w:sz w:val="16"/>
                <w:szCs w:val="16"/>
                <w:lang w:eastAsia="es-CO"/>
              </w:rPr>
              <w:lastRenderedPageBreak/>
              <w:t xml:space="preserve">diferentes localidades.   </w:t>
            </w:r>
            <w:r w:rsidRPr="00B3694F">
              <w:rPr>
                <w:rFonts w:ascii="Arial" w:hAnsi="Arial" w:cs="Arial"/>
                <w:sz w:val="16"/>
                <w:szCs w:val="16"/>
                <w:lang w:eastAsia="es-CO"/>
              </w:rPr>
              <w:br/>
            </w:r>
            <w:r w:rsidRPr="00B3694F">
              <w:rPr>
                <w:rFonts w:ascii="Arial" w:hAnsi="Arial" w:cs="Arial"/>
                <w:sz w:val="16"/>
                <w:szCs w:val="16"/>
                <w:lang w:eastAsia="es-CO"/>
              </w:rPr>
              <w:br/>
              <w:t>Comités temáticos por conflictos priorizados:</w:t>
            </w:r>
            <w:r w:rsidRPr="00B3694F">
              <w:rPr>
                <w:rFonts w:ascii="Arial" w:hAnsi="Arial" w:cs="Arial"/>
                <w:sz w:val="16"/>
                <w:szCs w:val="16"/>
                <w:lang w:eastAsia="es-CO"/>
              </w:rPr>
              <w:br/>
            </w:r>
            <w:r w:rsidRPr="00B3694F">
              <w:rPr>
                <w:rFonts w:ascii="Arial" w:hAnsi="Arial" w:cs="Arial"/>
                <w:sz w:val="16"/>
                <w:szCs w:val="16"/>
                <w:lang w:eastAsia="es-CO"/>
              </w:rPr>
              <w:br/>
              <w:t xml:space="preserve">En las localidades donde se están implementado los Sistemas Locales de Justicia se llevan a cabo los Comités Temáticos por conflicto priorizado, a través de reuniones interinstitucionales entre los actores y operadores de justicia competentes en un conflicto en específico, los cuales se encuentran para seguimiento y evaluación de las rutas de acceso a la justicia, de acuerdo a la información consignada en los diagnósticos territoriales.    A través de estos espacios se busca la concertación, coordinación y generación de acuerdos, entre las autoridades competentes para la atención de las conflictividades en el territorio. De enero a noviembre de 2019 se efectuaron 143 espacios de articulación, de los cuales 80 fueron Comités Temáticos y 55 espacios de articulación interinstitucional, para la coordinación de acciones territoriales con otras entidades, de las cuales se tuvieron como resultados jornadas de atención, de capacitación y de divulgación3. </w:t>
            </w:r>
          </w:p>
        </w:tc>
      </w:tr>
      <w:tr w:rsidR="00D21665" w:rsidRPr="00F948EE" w:rsidTr="000445F8">
        <w:trPr>
          <w:trHeight w:val="1128"/>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lastRenderedPageBreak/>
              <w:t>7513</w:t>
            </w:r>
          </w:p>
        </w:tc>
        <w:tc>
          <w:tcPr>
            <w:tcW w:w="330" w:type="pct"/>
            <w:tcBorders>
              <w:top w:val="nil"/>
              <w:left w:val="nil"/>
              <w:bottom w:val="nil"/>
              <w:right w:val="nil"/>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p>
        </w:tc>
        <w:tc>
          <w:tcPr>
            <w:tcW w:w="189"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3</w:t>
            </w:r>
          </w:p>
        </w:tc>
        <w:tc>
          <w:tcPr>
            <w:tcW w:w="472"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 xml:space="preserve">Capacitar y Articular al  100% De los operadores De justicia no formal y comunitaria del Distrito </w:t>
            </w:r>
          </w:p>
        </w:tc>
        <w:tc>
          <w:tcPr>
            <w:tcW w:w="221" w:type="pct"/>
            <w:tcBorders>
              <w:top w:val="nil"/>
              <w:left w:val="single" w:sz="4" w:space="0" w:color="auto"/>
              <w:bottom w:val="single" w:sz="4" w:space="0" w:color="auto"/>
              <w:right w:val="single" w:sz="4" w:space="0" w:color="auto"/>
            </w:tcBorders>
            <w:shd w:val="clear" w:color="auto" w:fill="auto"/>
            <w:noWrap/>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72%</w:t>
            </w:r>
          </w:p>
        </w:tc>
        <w:tc>
          <w:tcPr>
            <w:tcW w:w="566"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               128.787.038   </w:t>
            </w:r>
          </w:p>
        </w:tc>
        <w:tc>
          <w:tcPr>
            <w:tcW w:w="254"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100%</w:t>
            </w:r>
          </w:p>
        </w:tc>
        <w:tc>
          <w:tcPr>
            <w:tcW w:w="568"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              128.787.038   </w:t>
            </w:r>
          </w:p>
        </w:tc>
        <w:tc>
          <w:tcPr>
            <w:tcW w:w="2213" w:type="pct"/>
            <w:tcBorders>
              <w:top w:val="nil"/>
              <w:left w:val="single" w:sz="4" w:space="0" w:color="auto"/>
              <w:bottom w:val="single" w:sz="4" w:space="0" w:color="auto"/>
              <w:right w:val="single" w:sz="4" w:space="0" w:color="auto"/>
            </w:tcBorders>
            <w:shd w:val="clear" w:color="auto" w:fill="auto"/>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Para el cuarto trimestre, en conjunto con la capacitación a funcionarios de Casas de Justicia, los agentes de la Línea 195 participan en la jornada realizada por Fiscalía General de la Nación sobre su portafolio de servicios, el cual incluye atención en las rutas de hurto, violencia intrafamiliar e inasistencia alimentaria.</w:t>
            </w:r>
          </w:p>
        </w:tc>
      </w:tr>
      <w:tr w:rsidR="00D21665" w:rsidRPr="00F948EE" w:rsidTr="000445F8">
        <w:trPr>
          <w:trHeight w:val="802"/>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7513</w:t>
            </w:r>
          </w:p>
        </w:tc>
        <w:tc>
          <w:tcPr>
            <w:tcW w:w="330" w:type="pct"/>
            <w:tcBorders>
              <w:top w:val="nil"/>
              <w:left w:val="nil"/>
              <w:bottom w:val="nil"/>
              <w:right w:val="nil"/>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p>
        </w:tc>
        <w:tc>
          <w:tcPr>
            <w:tcW w:w="189"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2</w:t>
            </w:r>
          </w:p>
        </w:tc>
        <w:tc>
          <w:tcPr>
            <w:tcW w:w="472"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Ampliar en un 20% el Número de ciudadanos Atendidos en los equipamientos de justicia del Distrito.</w:t>
            </w:r>
          </w:p>
        </w:tc>
        <w:tc>
          <w:tcPr>
            <w:tcW w:w="221" w:type="pct"/>
            <w:tcBorders>
              <w:top w:val="nil"/>
              <w:left w:val="single" w:sz="4" w:space="0" w:color="auto"/>
              <w:bottom w:val="single" w:sz="4" w:space="0" w:color="auto"/>
              <w:right w:val="single" w:sz="4" w:space="0" w:color="auto"/>
            </w:tcBorders>
            <w:shd w:val="clear" w:color="auto" w:fill="auto"/>
            <w:noWrap/>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18%</w:t>
            </w:r>
          </w:p>
        </w:tc>
        <w:tc>
          <w:tcPr>
            <w:tcW w:w="566"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            1.789.610.274   </w:t>
            </w:r>
          </w:p>
        </w:tc>
        <w:tc>
          <w:tcPr>
            <w:tcW w:w="254"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18%</w:t>
            </w:r>
          </w:p>
        </w:tc>
        <w:tc>
          <w:tcPr>
            <w:tcW w:w="568"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            1.778.312.329   </w:t>
            </w:r>
          </w:p>
        </w:tc>
        <w:tc>
          <w:tcPr>
            <w:tcW w:w="2213" w:type="pct"/>
            <w:tcBorders>
              <w:top w:val="nil"/>
              <w:left w:val="single" w:sz="4" w:space="0" w:color="auto"/>
              <w:bottom w:val="single" w:sz="4" w:space="0" w:color="auto"/>
              <w:right w:val="single" w:sz="4" w:space="0" w:color="auto"/>
            </w:tcBorders>
            <w:shd w:val="clear" w:color="auto" w:fill="auto"/>
            <w:hideMark/>
          </w:tcPr>
          <w:p w:rsidR="002E0574" w:rsidRPr="00B3694F" w:rsidRDefault="002E0574" w:rsidP="007B005E">
            <w:pPr>
              <w:spacing w:after="0" w:line="240" w:lineRule="auto"/>
              <w:rPr>
                <w:rFonts w:ascii="Arial" w:hAnsi="Arial" w:cs="Arial"/>
                <w:color w:val="000000"/>
                <w:sz w:val="16"/>
                <w:szCs w:val="16"/>
                <w:lang w:eastAsia="es-CO"/>
              </w:rPr>
            </w:pPr>
            <w:r w:rsidRPr="00B3694F">
              <w:rPr>
                <w:rFonts w:ascii="Arial" w:hAnsi="Arial" w:cs="Arial"/>
                <w:color w:val="000000"/>
                <w:sz w:val="16"/>
                <w:szCs w:val="16"/>
                <w:lang w:eastAsia="es-CO"/>
              </w:rPr>
              <w:t>Durante lo corrido del 2019 se han atendido en las Casas de Justicia de Bogotá un total de 478.756  personas.</w:t>
            </w:r>
            <w:r w:rsidRPr="00B3694F">
              <w:rPr>
                <w:rFonts w:ascii="Arial" w:hAnsi="Arial" w:cs="Arial"/>
                <w:color w:val="000000"/>
                <w:sz w:val="16"/>
                <w:szCs w:val="16"/>
                <w:lang w:eastAsia="es-CO"/>
              </w:rPr>
              <w:br/>
              <w:t>Por su parte las Unidades de Mediación y Conciliación han realizado 19.352 atenciones en lo corrido del año.</w:t>
            </w:r>
            <w:r w:rsidRPr="00B3694F">
              <w:rPr>
                <w:rFonts w:ascii="Arial" w:hAnsi="Arial" w:cs="Arial"/>
                <w:color w:val="000000"/>
                <w:sz w:val="16"/>
                <w:szCs w:val="16"/>
                <w:lang w:eastAsia="es-CO"/>
              </w:rPr>
              <w:br/>
              <w:t>ii. Casas de Justicia Móviles: Estrategia Ven a la Van:</w:t>
            </w:r>
            <w:r w:rsidRPr="00B3694F">
              <w:rPr>
                <w:rFonts w:ascii="Arial" w:hAnsi="Arial" w:cs="Arial"/>
                <w:color w:val="000000"/>
                <w:sz w:val="16"/>
                <w:szCs w:val="16"/>
                <w:lang w:eastAsia="es-CO"/>
              </w:rPr>
              <w:br/>
              <w:t xml:space="preserve">Las Casas de Justicia Móvil son una estrategia de la Secretaría Distrital de Seguridad, Convivencia y Justicia (SDSCJ) para acercar la justicia al ciudadano en los territorios más alejados y con alto grado de conflictividad en la ciudad de Bogotá. </w:t>
            </w:r>
            <w:r w:rsidRPr="00B3694F">
              <w:rPr>
                <w:rFonts w:ascii="Arial" w:hAnsi="Arial" w:cs="Arial"/>
                <w:color w:val="000000"/>
                <w:sz w:val="16"/>
                <w:szCs w:val="16"/>
                <w:lang w:eastAsia="es-CO"/>
              </w:rPr>
              <w:br/>
              <w:t xml:space="preserve">Esta estrategia tiene el propósito fundamental contribuir a la superación de las barreras económicas, geográficas y culturales que dificultan el acceso a la justicia en el Distrito Capital, a través de la creación de espacios de interacción con la ciudadanía que permitan establecer un diálogo en donde los usuarios de informen, participen y reciban herramientas específicas para mejorar la seguridad, la convivencia y la justicia en los barrios de la ciudad. </w:t>
            </w:r>
            <w:r w:rsidRPr="00B3694F">
              <w:rPr>
                <w:rFonts w:ascii="Arial" w:hAnsi="Arial" w:cs="Arial"/>
                <w:color w:val="000000"/>
                <w:sz w:val="16"/>
                <w:szCs w:val="16"/>
                <w:lang w:eastAsia="es-CO"/>
              </w:rPr>
              <w:br/>
              <w:t>Esta estrategia, denominada “Ven a la Van” persigue tres objetivos específicos:</w:t>
            </w:r>
            <w:r w:rsidRPr="00B3694F">
              <w:rPr>
                <w:rFonts w:ascii="Arial" w:hAnsi="Arial" w:cs="Arial"/>
                <w:color w:val="000000"/>
                <w:sz w:val="16"/>
                <w:szCs w:val="16"/>
                <w:lang w:eastAsia="es-CO"/>
              </w:rPr>
              <w:br/>
              <w:t>• Ofrecer soluciones específicas a los delitos /conflictos de mayor incidencia en el territorio donde se hace presencia.</w:t>
            </w:r>
            <w:r w:rsidRPr="00B3694F">
              <w:rPr>
                <w:rFonts w:ascii="Arial" w:hAnsi="Arial" w:cs="Arial"/>
                <w:color w:val="000000"/>
                <w:sz w:val="16"/>
                <w:szCs w:val="16"/>
                <w:lang w:eastAsia="es-CO"/>
              </w:rPr>
              <w:br/>
              <w:t>• Generar espacios para que los ciudadanos puedan expresar sus preocupaciones, formular preguntas o inquietudes en temas de seguridad, convivencia y justicia.</w:t>
            </w:r>
            <w:r w:rsidRPr="00B3694F">
              <w:rPr>
                <w:rFonts w:ascii="Arial" w:hAnsi="Arial" w:cs="Arial"/>
                <w:color w:val="000000"/>
                <w:sz w:val="16"/>
                <w:szCs w:val="16"/>
                <w:lang w:eastAsia="es-CO"/>
              </w:rPr>
              <w:br/>
              <w:t>• Realizar actividades lúdicas y pedagógicas que le permitan a los ciudadanos conocer y relacionarse mejor con la Secretaría.</w:t>
            </w:r>
            <w:r w:rsidRPr="00B3694F">
              <w:rPr>
                <w:rFonts w:ascii="Arial" w:hAnsi="Arial" w:cs="Arial"/>
                <w:color w:val="000000"/>
                <w:sz w:val="16"/>
                <w:szCs w:val="16"/>
                <w:lang w:eastAsia="es-CO"/>
              </w:rPr>
              <w:br/>
              <w:t xml:space="preserve">Con fecha de corte 30 de noviembre de 2019, se ha logrado atender a 4.465 ciudadanos a través de la realización 785 de estas jornadas en Bogotá. </w:t>
            </w:r>
            <w:r w:rsidRPr="00B3694F">
              <w:rPr>
                <w:rFonts w:ascii="Arial" w:hAnsi="Arial" w:cs="Arial"/>
                <w:color w:val="000000"/>
                <w:sz w:val="16"/>
                <w:szCs w:val="16"/>
                <w:lang w:eastAsia="es-CO"/>
              </w:rPr>
              <w:br/>
            </w:r>
            <w:r w:rsidRPr="00B3694F">
              <w:rPr>
                <w:rFonts w:ascii="Arial" w:hAnsi="Arial" w:cs="Arial"/>
                <w:color w:val="000000"/>
                <w:sz w:val="16"/>
                <w:szCs w:val="16"/>
                <w:lang w:eastAsia="es-CO"/>
              </w:rPr>
              <w:br/>
              <w:t>Línea 195, Opción 7</w:t>
            </w:r>
            <w:r w:rsidRPr="00B3694F">
              <w:rPr>
                <w:rFonts w:ascii="Arial" w:hAnsi="Arial" w:cs="Arial"/>
                <w:color w:val="000000"/>
                <w:sz w:val="16"/>
                <w:szCs w:val="16"/>
                <w:lang w:eastAsia="es-CO"/>
              </w:rPr>
              <w:br/>
              <w:t xml:space="preserve">En la actualidad, la línea 195 atiende alrededor de 60 ciudadanos diarios, lo que equivale a un 83% de las asesorías que en promedio atiende una Casa de Justicia física en Bogotá D.C. Desde su puesta en marcha el 27 de mayo de 2019 a la fecha, se han recibido 13.389 llamadas de ciudadanos de las cuales 8.611 buscaban información o asesoría en temas </w:t>
            </w:r>
            <w:r w:rsidRPr="00B3694F">
              <w:rPr>
                <w:rFonts w:ascii="Arial" w:hAnsi="Arial" w:cs="Arial"/>
                <w:color w:val="000000"/>
                <w:sz w:val="16"/>
                <w:szCs w:val="16"/>
                <w:lang w:eastAsia="es-CO"/>
              </w:rPr>
              <w:lastRenderedPageBreak/>
              <w:t xml:space="preserve">jurídicos (Casas de Justicia) y 4.778 en temas relacionados con el Código Nacional de Policía. </w:t>
            </w:r>
          </w:p>
        </w:tc>
      </w:tr>
      <w:tr w:rsidR="00D21665" w:rsidRPr="00F948EE" w:rsidTr="000445F8">
        <w:trPr>
          <w:trHeight w:val="156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lastRenderedPageBreak/>
              <w:t>7513</w:t>
            </w:r>
          </w:p>
        </w:tc>
        <w:tc>
          <w:tcPr>
            <w:tcW w:w="330" w:type="pct"/>
            <w:tcBorders>
              <w:top w:val="nil"/>
              <w:left w:val="nil"/>
              <w:bottom w:val="nil"/>
              <w:right w:val="nil"/>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p>
        </w:tc>
        <w:tc>
          <w:tcPr>
            <w:tcW w:w="189"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7</w:t>
            </w:r>
          </w:p>
        </w:tc>
        <w:tc>
          <w:tcPr>
            <w:tcW w:w="472"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Ampliar en un 15% los jovenes con sanción privativa de la libertad en el SRPA que son atendidos integralmente</w:t>
            </w:r>
          </w:p>
        </w:tc>
        <w:tc>
          <w:tcPr>
            <w:tcW w:w="221" w:type="pct"/>
            <w:tcBorders>
              <w:top w:val="nil"/>
              <w:left w:val="single" w:sz="4" w:space="0" w:color="auto"/>
              <w:bottom w:val="single" w:sz="4" w:space="0" w:color="auto"/>
              <w:right w:val="single" w:sz="4" w:space="0" w:color="auto"/>
            </w:tcBorders>
            <w:shd w:val="clear" w:color="auto" w:fill="auto"/>
            <w:noWrap/>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15</w:t>
            </w:r>
          </w:p>
        </w:tc>
        <w:tc>
          <w:tcPr>
            <w:tcW w:w="566"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            2.812.714.206   </w:t>
            </w:r>
          </w:p>
        </w:tc>
        <w:tc>
          <w:tcPr>
            <w:tcW w:w="254"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14,00%</w:t>
            </w:r>
          </w:p>
        </w:tc>
        <w:tc>
          <w:tcPr>
            <w:tcW w:w="568"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            2.745.190.508   </w:t>
            </w:r>
          </w:p>
        </w:tc>
        <w:tc>
          <w:tcPr>
            <w:tcW w:w="2213" w:type="pct"/>
            <w:tcBorders>
              <w:top w:val="nil"/>
              <w:left w:val="single" w:sz="4" w:space="0" w:color="auto"/>
              <w:bottom w:val="single" w:sz="4" w:space="0" w:color="auto"/>
              <w:right w:val="single" w:sz="4" w:space="0" w:color="auto"/>
            </w:tcBorders>
            <w:shd w:val="clear" w:color="auto" w:fill="auto"/>
            <w:hideMark/>
          </w:tcPr>
          <w:p w:rsidR="002E0574" w:rsidRPr="00B3694F" w:rsidRDefault="002E0574" w:rsidP="007B005E">
            <w:pPr>
              <w:spacing w:after="0" w:line="240" w:lineRule="auto"/>
              <w:rPr>
                <w:rFonts w:ascii="Arial" w:hAnsi="Arial" w:cs="Arial"/>
                <w:color w:val="000000"/>
                <w:sz w:val="16"/>
                <w:szCs w:val="16"/>
                <w:lang w:eastAsia="es-CO"/>
              </w:rPr>
            </w:pPr>
            <w:r w:rsidRPr="00B3694F">
              <w:rPr>
                <w:rFonts w:ascii="Arial" w:hAnsi="Arial" w:cs="Arial"/>
                <w:color w:val="000000"/>
                <w:sz w:val="16"/>
                <w:szCs w:val="16"/>
                <w:lang w:eastAsia="es-CO"/>
              </w:rPr>
              <w:t>*Atención CAE Bosconia: Durante la vigencia del 2019 se han atendido 76 adolescentes y/o jóvenes sancionados con privación de la libertad.</w:t>
            </w:r>
            <w:r>
              <w:rPr>
                <w:rFonts w:ascii="Arial" w:hAnsi="Arial" w:cs="Arial"/>
                <w:color w:val="000000"/>
                <w:sz w:val="16"/>
                <w:szCs w:val="16"/>
                <w:lang w:eastAsia="es-CO"/>
              </w:rPr>
              <w:t xml:space="preserve"> </w:t>
            </w:r>
            <w:r w:rsidRPr="00B3694F">
              <w:rPr>
                <w:rFonts w:ascii="Arial" w:hAnsi="Arial" w:cs="Arial"/>
                <w:color w:val="000000"/>
                <w:sz w:val="16"/>
                <w:szCs w:val="16"/>
                <w:lang w:eastAsia="es-CO"/>
              </w:rPr>
              <w:t xml:space="preserve">*Programa “Cuenta hasta Diez” : A corte 31 de diciembre del año 2019, se culminó la implementación del programa en los Centros de Atención Especializada Bosconia, Belén, Esmeralda y Redentor Adolescentes, así como en los centros no privativos Forjar Suba, Forjar Rafael Uribe Uribe, Forjar Ciudad Bolívar, Asociación Cristiana de Jóvenes -ACJ- prestación de servicios a la comunidad, ACJ Libertad Asistida, Oficina de Pastoral para la niñez y la familia -OPAN- Casa Taller, OPAN Av. 68, OPAN Venecia, y los Centros de Internamiento Preventivo Acogida y Esmeralda, logrando la atención en el 100% de los Centros del SRPA, cumpliendo con los objetivos propuestos, evidenciando receptividad por parte de los funcionarios de los centros, así como de los adolescentes, jóvenes y sus familias. </w:t>
            </w:r>
            <w:r>
              <w:rPr>
                <w:rFonts w:ascii="Arial" w:hAnsi="Arial" w:cs="Arial"/>
                <w:color w:val="000000"/>
                <w:sz w:val="16"/>
                <w:szCs w:val="16"/>
                <w:lang w:eastAsia="es-CO"/>
              </w:rPr>
              <w:t xml:space="preserve"> </w:t>
            </w:r>
            <w:r w:rsidRPr="00B3694F">
              <w:rPr>
                <w:rFonts w:ascii="Arial" w:hAnsi="Arial" w:cs="Arial"/>
                <w:color w:val="000000"/>
                <w:sz w:val="16"/>
                <w:szCs w:val="16"/>
                <w:lang w:eastAsia="es-CO"/>
              </w:rPr>
              <w:t xml:space="preserve">Se han desarrollado talleres de cuidado al cuidador con los operadores de los centros privativos y no privativos de la libertad, brindando estrategias de regulación emocional a los funcionarios que trabajan con los adolescentes y jóvenes del SRPA. </w:t>
            </w:r>
          </w:p>
        </w:tc>
      </w:tr>
      <w:tr w:rsidR="00D21665" w:rsidRPr="00F948EE" w:rsidTr="000445F8">
        <w:trPr>
          <w:trHeight w:val="600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lastRenderedPageBreak/>
              <w:t>7513</w:t>
            </w:r>
          </w:p>
        </w:tc>
        <w:tc>
          <w:tcPr>
            <w:tcW w:w="330" w:type="pct"/>
            <w:tcBorders>
              <w:top w:val="nil"/>
              <w:left w:val="nil"/>
              <w:bottom w:val="nil"/>
              <w:right w:val="nil"/>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p>
        </w:tc>
        <w:tc>
          <w:tcPr>
            <w:tcW w:w="189"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6</w:t>
            </w:r>
          </w:p>
        </w:tc>
        <w:tc>
          <w:tcPr>
            <w:tcW w:w="472" w:type="pct"/>
            <w:tcBorders>
              <w:top w:val="nil"/>
              <w:left w:val="nil"/>
              <w:bottom w:val="single" w:sz="4" w:space="0" w:color="auto"/>
              <w:right w:val="single" w:sz="4" w:space="0" w:color="auto"/>
            </w:tcBorders>
            <w:shd w:val="clear" w:color="FFFFCC" w:fill="FFFFFF"/>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Atender  400  Jóvenes En conflicto con la ley a través del programa Distrital de Justicia Juvenil Restaurativa.</w:t>
            </w:r>
          </w:p>
        </w:tc>
        <w:tc>
          <w:tcPr>
            <w:tcW w:w="221" w:type="pct"/>
            <w:tcBorders>
              <w:top w:val="nil"/>
              <w:left w:val="single" w:sz="4" w:space="0" w:color="auto"/>
              <w:bottom w:val="single" w:sz="4" w:space="0" w:color="auto"/>
              <w:right w:val="single" w:sz="4" w:space="0" w:color="auto"/>
            </w:tcBorders>
            <w:shd w:val="clear" w:color="auto" w:fill="auto"/>
            <w:noWrap/>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64</w:t>
            </w:r>
          </w:p>
        </w:tc>
        <w:tc>
          <w:tcPr>
            <w:tcW w:w="566"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               752.949.513   </w:t>
            </w:r>
          </w:p>
        </w:tc>
        <w:tc>
          <w:tcPr>
            <w:tcW w:w="254" w:type="pct"/>
            <w:tcBorders>
              <w:top w:val="nil"/>
              <w:left w:val="nil"/>
              <w:bottom w:val="single" w:sz="4" w:space="0" w:color="auto"/>
              <w:right w:val="single" w:sz="4" w:space="0" w:color="auto"/>
            </w:tcBorders>
            <w:shd w:val="clear" w:color="auto" w:fill="auto"/>
            <w:noWrap/>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64</w:t>
            </w:r>
          </w:p>
        </w:tc>
        <w:tc>
          <w:tcPr>
            <w:tcW w:w="568"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              752.949.513   </w:t>
            </w:r>
          </w:p>
        </w:tc>
        <w:tc>
          <w:tcPr>
            <w:tcW w:w="2213" w:type="pct"/>
            <w:tcBorders>
              <w:top w:val="nil"/>
              <w:left w:val="single" w:sz="4" w:space="0" w:color="auto"/>
              <w:bottom w:val="single" w:sz="4" w:space="0" w:color="auto"/>
              <w:right w:val="single" w:sz="4" w:space="0" w:color="auto"/>
            </w:tcBorders>
            <w:shd w:val="clear" w:color="auto" w:fill="auto"/>
            <w:hideMark/>
          </w:tcPr>
          <w:p w:rsidR="002E0574" w:rsidRPr="00B3694F" w:rsidRDefault="002E0574" w:rsidP="007B005E">
            <w:pPr>
              <w:spacing w:after="0" w:line="240" w:lineRule="auto"/>
              <w:rPr>
                <w:rFonts w:ascii="Arial" w:hAnsi="Arial" w:cs="Arial"/>
                <w:sz w:val="16"/>
                <w:szCs w:val="16"/>
                <w:lang w:eastAsia="es-CO"/>
              </w:rPr>
            </w:pPr>
            <w:r w:rsidRPr="00B3694F">
              <w:rPr>
                <w:rFonts w:ascii="Arial" w:hAnsi="Arial" w:cs="Arial"/>
                <w:sz w:val="16"/>
                <w:szCs w:val="16"/>
                <w:lang w:eastAsia="es-CO"/>
              </w:rPr>
              <w:t>El Programa Distrital de Justicia Juvenil Restaurativa (PDJJR) cuenta con diferentes líneas de atención, a través de las cuales se busca que el adolescente / joven en conflicto con la ley reconozca el daño causado, repare a la víctima y se reintegre a su medio familiar y social con derechos restablecidos.  En total por se han atendido 604  personas por las lineas de: Principio de oportunidad; Justicia restaurativa en el colegio y Justicia restaurativa en conciliación.</w:t>
            </w:r>
            <w:r w:rsidRPr="00B3694F">
              <w:rPr>
                <w:rFonts w:ascii="Arial" w:hAnsi="Arial" w:cs="Arial"/>
                <w:sz w:val="16"/>
                <w:szCs w:val="16"/>
                <w:lang w:eastAsia="es-CO"/>
              </w:rPr>
              <w:br/>
              <w:t>Línea 1. Principio de Oportunidad con suspensión de procedimiento a prueba, se han realizado las siguientes capacitaciones:</w:t>
            </w:r>
            <w:r w:rsidRPr="00B3694F">
              <w:rPr>
                <w:rFonts w:ascii="Arial" w:hAnsi="Arial" w:cs="Arial"/>
                <w:sz w:val="16"/>
                <w:szCs w:val="16"/>
                <w:lang w:eastAsia="es-CO"/>
              </w:rPr>
              <w:br/>
              <w:t>Octubre 9 de 2019 Socialización del programa al área jurídica de la Alcaldía</w:t>
            </w:r>
            <w:r w:rsidRPr="00B3694F">
              <w:rPr>
                <w:rFonts w:ascii="Arial" w:hAnsi="Arial" w:cs="Arial"/>
                <w:sz w:val="16"/>
                <w:szCs w:val="16"/>
                <w:lang w:eastAsia="es-CO"/>
              </w:rPr>
              <w:br/>
              <w:t>Octubre 16 de 2019 Sensibilización a Policías en el marco de la mesa de Justicia Restaurativa</w:t>
            </w:r>
            <w:r w:rsidRPr="00B3694F">
              <w:rPr>
                <w:rFonts w:ascii="Arial" w:hAnsi="Arial" w:cs="Arial"/>
                <w:sz w:val="16"/>
                <w:szCs w:val="16"/>
                <w:lang w:eastAsia="es-CO"/>
              </w:rPr>
              <w:br/>
              <w:t>Octubre 18 de 2019 Taller al área jurídica de la SDSCJ sobre JR</w:t>
            </w:r>
            <w:r w:rsidRPr="00B3694F">
              <w:rPr>
                <w:rFonts w:ascii="Arial" w:hAnsi="Arial" w:cs="Arial"/>
                <w:sz w:val="16"/>
                <w:szCs w:val="16"/>
                <w:lang w:eastAsia="es-CO"/>
              </w:rPr>
              <w:br/>
              <w:t>Octubre 23 de 2019 Socialización del PDJJR a Creative Associates</w:t>
            </w:r>
            <w:r w:rsidRPr="00B3694F">
              <w:rPr>
                <w:rFonts w:ascii="Arial" w:hAnsi="Arial" w:cs="Arial"/>
                <w:sz w:val="16"/>
                <w:szCs w:val="16"/>
                <w:lang w:eastAsia="es-CO"/>
              </w:rPr>
              <w:br/>
              <w:t>Noviembre 8 de 2019 Sensibilización a jueces de conocimiento</w:t>
            </w:r>
            <w:r w:rsidRPr="00B3694F">
              <w:rPr>
                <w:rFonts w:ascii="Arial" w:hAnsi="Arial" w:cs="Arial"/>
                <w:sz w:val="16"/>
                <w:szCs w:val="16"/>
                <w:lang w:eastAsia="es-CO"/>
              </w:rPr>
              <w:br/>
              <w:t>Noviembre 14 de 2019 Ponencia en el evento: estrategias para reducir la criminalidad y la reincidencia Universidad de Los andes-Grupo de prisiones</w:t>
            </w:r>
            <w:r w:rsidRPr="00B3694F">
              <w:rPr>
                <w:rFonts w:ascii="Arial" w:hAnsi="Arial" w:cs="Arial"/>
                <w:sz w:val="16"/>
                <w:szCs w:val="16"/>
                <w:lang w:eastAsia="es-CO"/>
              </w:rPr>
              <w:br/>
              <w:t>Diciembre 2 y 3 de 2019 Se realiza exposición del Programa a delegación de Nuevo León, México: Patricia de Obeso (Directora de Prevención de la Violencia), Marisol Gómez (directora del Instituto Municipal de la Juventud), Rubí Cepeda (Coordinadora de la Unidad de Atención a la Violencia), Claudia Rondón, Ernesto López con el objetivo de que conozcan las estrategias que se trabajan con jóvenes del SRPA.</w:t>
            </w:r>
            <w:r w:rsidRPr="00B3694F">
              <w:rPr>
                <w:rFonts w:ascii="Arial" w:hAnsi="Arial" w:cs="Arial"/>
                <w:sz w:val="16"/>
                <w:szCs w:val="16"/>
                <w:lang w:eastAsia="es-CO"/>
              </w:rPr>
              <w:br/>
              <w:t>Diciembre 6 de 2019 Participación en el VI Encuentro de Dirección de Protección de Recursos y Seguridad en el Retail para socializar el PDJJR.</w:t>
            </w:r>
            <w:r w:rsidRPr="00B3694F">
              <w:rPr>
                <w:rFonts w:ascii="Arial" w:hAnsi="Arial" w:cs="Arial"/>
                <w:sz w:val="16"/>
                <w:szCs w:val="16"/>
                <w:lang w:eastAsia="es-CO"/>
              </w:rPr>
              <w:br/>
              <w:t>Diciembre 13 de 2019 Socialización del PDJJR a niños, niñas y adolescentes del Consejo.</w:t>
            </w:r>
            <w:r w:rsidRPr="00B3694F">
              <w:rPr>
                <w:rFonts w:ascii="Arial" w:hAnsi="Arial" w:cs="Arial"/>
                <w:sz w:val="16"/>
                <w:szCs w:val="16"/>
                <w:lang w:eastAsia="es-CO"/>
              </w:rPr>
              <w:br/>
              <w:t xml:space="preserve">Diciembre 18 de 2019 Se realizó actividad pedagógica-recreativa para los usuarios del PDJJR, con el objetivo de fortalecimiento de redes familiares. La actividad se realizó en articulación con biblored quienes trajeron una obra de teatro y con la estrategia En la juega de la dirección de prevención quienes hicieron un torneo de futbol. </w:t>
            </w:r>
            <w:r w:rsidRPr="00B3694F">
              <w:rPr>
                <w:rFonts w:ascii="Arial" w:hAnsi="Arial" w:cs="Arial"/>
                <w:sz w:val="16"/>
                <w:szCs w:val="16"/>
                <w:lang w:eastAsia="es-CO"/>
              </w:rPr>
              <w:br/>
              <w:t>Línea 2. Programa justicia restaurativa en el colegio: dirigido a adolescentes que, en calidad de presunta víctima y presunto ofensor, están implicados en un proceso ante la Fiscalía por lesiones personales con incapacidad inferior a sesenta días. También participan del proceso los respectivos representantes legales (padres de familia) y el comité escolar de convivencia del respectivo colegio se han atendido; Adolescentes/jóvenes en conflicto con la ley atendidos con caso cerrado 48; Víctimas atendidas  37; y Colegios 29.</w:t>
            </w:r>
            <w:r w:rsidRPr="00B3694F">
              <w:rPr>
                <w:rFonts w:ascii="Arial" w:hAnsi="Arial" w:cs="Arial"/>
                <w:sz w:val="16"/>
                <w:szCs w:val="16"/>
                <w:lang w:eastAsia="es-CO"/>
              </w:rPr>
              <w:br/>
              <w:t xml:space="preserve">Línea 3. Justicia restaurativa en conciliaciones masivas: Se apoya a la Unidad de Responsabilidad Penal Adolescente, de la Fiscalía seccional, en la organización, </w:t>
            </w:r>
            <w:r w:rsidRPr="00B3694F">
              <w:rPr>
                <w:rFonts w:ascii="Arial" w:hAnsi="Arial" w:cs="Arial"/>
                <w:sz w:val="16"/>
                <w:szCs w:val="16"/>
                <w:lang w:eastAsia="es-CO"/>
              </w:rPr>
              <w:lastRenderedPageBreak/>
              <w:t>convocatoria y realización de jornadas masivas de conciliación. Así mismo, se realiza un taller previo a las conciliaciones, con el cual se busca sensibilizar a los adolescentes y sus padres sobre los aspectos fundamentales de la justicia restaurativa.</w:t>
            </w:r>
            <w:r w:rsidRPr="00B3694F">
              <w:rPr>
                <w:rFonts w:ascii="Arial" w:hAnsi="Arial" w:cs="Arial"/>
                <w:sz w:val="16"/>
                <w:szCs w:val="16"/>
                <w:lang w:eastAsia="es-CO"/>
              </w:rPr>
              <w:br/>
              <w:t>Línea 4. Justicia restaurativa casos con proceso penal en curso: Proceso articulado con los jueces penales para adolescentes con funciones de conocimiento, se avanza en la estructuración de una línea para la atención a adolescentes y jóvenes que se encuentra en curso su proceso penal. Gracias a la gestión del Consejo Seccional de la Judicatura se adelanta adecuación de un espacio como sala satélite del programa en el complejo judicial.</w:t>
            </w:r>
          </w:p>
        </w:tc>
      </w:tr>
      <w:tr w:rsidR="00D21665" w:rsidRPr="00F948EE" w:rsidTr="000445F8">
        <w:trPr>
          <w:trHeight w:val="3375"/>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lastRenderedPageBreak/>
              <w:t>7513</w:t>
            </w:r>
          </w:p>
        </w:tc>
        <w:tc>
          <w:tcPr>
            <w:tcW w:w="330" w:type="pct"/>
            <w:tcBorders>
              <w:top w:val="nil"/>
              <w:left w:val="nil"/>
              <w:bottom w:val="nil"/>
              <w:right w:val="nil"/>
            </w:tcBorders>
            <w:shd w:val="clear" w:color="auto" w:fill="auto"/>
            <w:vAlign w:val="center"/>
            <w:hideMark/>
          </w:tcPr>
          <w:p w:rsidR="002E0574" w:rsidRPr="00B3694F" w:rsidRDefault="002E0574" w:rsidP="007B005E">
            <w:pPr>
              <w:spacing w:after="0" w:line="240" w:lineRule="auto"/>
              <w:rPr>
                <w:rFonts w:ascii="Arial" w:hAnsi="Arial" w:cs="Arial"/>
                <w:sz w:val="16"/>
                <w:szCs w:val="16"/>
                <w:lang w:eastAsia="es-CO"/>
              </w:rPr>
            </w:pPr>
            <w:r w:rsidRPr="00B3694F">
              <w:rPr>
                <w:rFonts w:ascii="Arial" w:hAnsi="Arial" w:cs="Arial"/>
                <w:sz w:val="16"/>
                <w:szCs w:val="16"/>
                <w:lang w:eastAsia="es-CO"/>
              </w:rPr>
              <w:t>JUSTICIA PARA TODOS</w:t>
            </w:r>
          </w:p>
        </w:tc>
        <w:tc>
          <w:tcPr>
            <w:tcW w:w="189"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10</w:t>
            </w:r>
          </w:p>
        </w:tc>
        <w:tc>
          <w:tcPr>
            <w:tcW w:w="472"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color w:val="000000"/>
                <w:sz w:val="16"/>
                <w:szCs w:val="16"/>
                <w:lang w:eastAsia="es-CO"/>
              </w:rPr>
            </w:pPr>
            <w:r w:rsidRPr="00B3694F">
              <w:rPr>
                <w:rFonts w:ascii="Arial" w:hAnsi="Arial" w:cs="Arial"/>
                <w:color w:val="000000"/>
                <w:sz w:val="16"/>
                <w:szCs w:val="16"/>
                <w:lang w:eastAsia="es-CO"/>
              </w:rPr>
              <w:t>Brindar atención integral  al 100%    De la población Privada de la libertad en la Cárcel Distrital de Varones y el Anexo de Mujeres, y garantizar su adecuada operación.</w:t>
            </w:r>
          </w:p>
        </w:tc>
        <w:tc>
          <w:tcPr>
            <w:tcW w:w="221"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100%</w:t>
            </w:r>
          </w:p>
        </w:tc>
        <w:tc>
          <w:tcPr>
            <w:tcW w:w="566"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          12.500.648.234   </w:t>
            </w:r>
          </w:p>
        </w:tc>
        <w:tc>
          <w:tcPr>
            <w:tcW w:w="254"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100%</w:t>
            </w:r>
          </w:p>
        </w:tc>
        <w:tc>
          <w:tcPr>
            <w:tcW w:w="568"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          12.351.547.964   </w:t>
            </w:r>
          </w:p>
        </w:tc>
        <w:tc>
          <w:tcPr>
            <w:tcW w:w="2213" w:type="pct"/>
            <w:tcBorders>
              <w:top w:val="nil"/>
              <w:left w:val="single" w:sz="4" w:space="0" w:color="auto"/>
              <w:bottom w:val="single" w:sz="4" w:space="0" w:color="auto"/>
              <w:right w:val="single" w:sz="4" w:space="0" w:color="auto"/>
            </w:tcBorders>
            <w:shd w:val="clear" w:color="auto" w:fill="auto"/>
            <w:hideMark/>
          </w:tcPr>
          <w:p w:rsidR="002E0574" w:rsidRPr="00B3694F" w:rsidRDefault="002E0574" w:rsidP="007B005E">
            <w:pPr>
              <w:spacing w:after="0" w:line="240" w:lineRule="auto"/>
              <w:rPr>
                <w:rFonts w:ascii="Arial" w:hAnsi="Arial" w:cs="Arial"/>
                <w:color w:val="000000"/>
                <w:sz w:val="16"/>
                <w:szCs w:val="16"/>
                <w:lang w:eastAsia="es-CO"/>
              </w:rPr>
            </w:pPr>
            <w:r w:rsidRPr="00B3694F">
              <w:rPr>
                <w:rFonts w:ascii="Arial" w:hAnsi="Arial" w:cs="Arial"/>
                <w:color w:val="000000"/>
                <w:sz w:val="16"/>
                <w:szCs w:val="16"/>
                <w:lang w:eastAsia="es-CO"/>
              </w:rPr>
              <w:t xml:space="preserve">El Consejo de Evaluación y Tratamiento-CET, ha evaluado durante el 2019un total de 649 personas privadas de la libertad analizadas en 49 sesiones. </w:t>
            </w:r>
            <w:r w:rsidRPr="00B3694F">
              <w:rPr>
                <w:rFonts w:ascii="Arial" w:hAnsi="Arial" w:cs="Arial"/>
                <w:color w:val="000000"/>
                <w:sz w:val="16"/>
                <w:szCs w:val="16"/>
                <w:lang w:eastAsia="es-CO"/>
              </w:rPr>
              <w:br/>
              <w:t>Junta de Evaluación, Trabajo, Estudio y Enseñanza, para el periodo comprendido entre octubre y noviembre del 2019 los programas brindados como parte del proceso de resocialización para las Personas Privadas de la Libertad fueron:</w:t>
            </w:r>
            <w:r w:rsidRPr="00B3694F">
              <w:rPr>
                <w:rFonts w:ascii="Arial" w:hAnsi="Arial" w:cs="Arial"/>
                <w:color w:val="000000"/>
                <w:sz w:val="16"/>
                <w:szCs w:val="16"/>
                <w:lang w:eastAsia="es-CO"/>
              </w:rPr>
              <w:br/>
              <w:t xml:space="preserve">Taller de Serigrafía, Maderas, Lavandería, PIGA, Proceso Educativo (Validación De Estudios), Acondicionamiento Físico, Capacitación en Teletrabajo, Biblioteca, Servicio de Alimentos, comité de Derechos Humanos, Screen, tejidos, hilandería, panadería, emisora, y confecciones para bimestre de 598 Personas Privadas de la Libertad en capacitación. </w:t>
            </w:r>
            <w:r w:rsidRPr="00B3694F">
              <w:rPr>
                <w:rFonts w:ascii="Arial" w:hAnsi="Arial" w:cs="Arial"/>
                <w:color w:val="000000"/>
                <w:sz w:val="16"/>
                <w:szCs w:val="16"/>
                <w:lang w:eastAsia="es-CO"/>
              </w:rPr>
              <w:br/>
              <w:t>SALUD:  se prestaron los servicios de salud, a través del Contrato Interadministrativo N° 784 de 2019, El total de personas atendidas en los servicios fueron:  Consulta resolutiva en medicina general: 2252; Consulta resolutiva en odontología general: 1072</w:t>
            </w:r>
            <w:r w:rsidRPr="00B3694F">
              <w:rPr>
                <w:rFonts w:ascii="Arial" w:hAnsi="Arial" w:cs="Arial"/>
                <w:color w:val="000000"/>
                <w:sz w:val="16"/>
                <w:szCs w:val="16"/>
                <w:lang w:eastAsia="es-CO"/>
              </w:rPr>
              <w:br/>
              <w:t>Acciones en Riesgo Individual como: Detección Sintomáticos Respiratorios y Otras Afecciones en Salud y Tamizajes en Salud Mental y Detección y Seguimiento a paciente de condición crónica: 3107 personas privadas de libertad a quienes se realizó estas acciones. Toma de Pruebas Rápidas para detección de Sífilis y VIH: 164 personas privadas de libertad.</w:t>
            </w:r>
            <w:r w:rsidRPr="00B3694F">
              <w:rPr>
                <w:rFonts w:ascii="Arial" w:hAnsi="Arial" w:cs="Arial"/>
                <w:color w:val="000000"/>
                <w:sz w:val="16"/>
                <w:szCs w:val="16"/>
                <w:lang w:eastAsia="es-CO"/>
              </w:rPr>
              <w:br/>
              <w:t>SERVICIO DE ALIMENTOS: el operador SERVINUTRIR S.A.S Contrato 899 del 2019 durante lo meses de octubre,  noviembre y diciembre atendieron OCTUBRE 29739 raciones; NOVIEMBRE 28735 y DICIEMBRE 29.313  raciones para un total EN EL 2019 de 345.394</w:t>
            </w:r>
            <w:r w:rsidRPr="00B3694F">
              <w:rPr>
                <w:rFonts w:ascii="Arial" w:hAnsi="Arial" w:cs="Arial"/>
                <w:color w:val="000000"/>
                <w:sz w:val="16"/>
                <w:szCs w:val="16"/>
                <w:lang w:eastAsia="es-CO"/>
              </w:rPr>
              <w:br/>
              <w:t xml:space="preserve">GRUPO JURIDICO: Realizo los siguientes trámites para el 2019 son las siguientes: </w:t>
            </w:r>
            <w:r w:rsidRPr="00B3694F">
              <w:rPr>
                <w:rFonts w:ascii="Arial" w:hAnsi="Arial" w:cs="Arial"/>
                <w:color w:val="000000"/>
                <w:sz w:val="16"/>
                <w:szCs w:val="16"/>
                <w:lang w:eastAsia="es-CO"/>
              </w:rPr>
              <w:br/>
            </w:r>
            <w:r w:rsidRPr="00B3694F">
              <w:rPr>
                <w:rFonts w:ascii="Arial" w:hAnsi="Arial" w:cs="Arial"/>
                <w:color w:val="000000"/>
                <w:sz w:val="16"/>
                <w:szCs w:val="16"/>
                <w:lang w:eastAsia="es-CO"/>
              </w:rPr>
              <w:br/>
              <w:t xml:space="preserve">ingreso de PPL  1,082; egresos de PPL   924; traslados de establecimiento 814; remisiones efectuadas 4401; tutelas 77; habeas corpus 16; permiso de 72 horas 54; notificaciones a las PPL 2,584; derechos de petición 188; solicitudes a defensoría del pueblo. 84; resoluciones sancionatorias 136; recursos de reposición 27; declaraciones tomadas 185; sesiones de consejo asistidas 35 </w:t>
            </w:r>
          </w:p>
        </w:tc>
      </w:tr>
      <w:tr w:rsidR="00D21665" w:rsidRPr="00F948EE" w:rsidTr="000445F8">
        <w:trPr>
          <w:trHeight w:val="324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lastRenderedPageBreak/>
              <w:t>7513</w:t>
            </w:r>
          </w:p>
        </w:tc>
        <w:tc>
          <w:tcPr>
            <w:tcW w:w="330" w:type="pct"/>
            <w:tcBorders>
              <w:top w:val="nil"/>
              <w:left w:val="nil"/>
              <w:bottom w:val="nil"/>
              <w:right w:val="nil"/>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p>
        </w:tc>
        <w:tc>
          <w:tcPr>
            <w:tcW w:w="189"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8</w:t>
            </w:r>
          </w:p>
        </w:tc>
        <w:tc>
          <w:tcPr>
            <w:tcW w:w="472" w:type="pct"/>
            <w:tcBorders>
              <w:top w:val="nil"/>
              <w:left w:val="nil"/>
              <w:bottom w:val="single" w:sz="4" w:space="0" w:color="auto"/>
              <w:right w:val="single" w:sz="4" w:space="0" w:color="auto"/>
            </w:tcBorders>
            <w:shd w:val="clear" w:color="FFFFCC" w:fill="FFFFFF"/>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Implementar el 100% Del Modelo de Atención diferencial Para adolescentes y jóvenes con sanción privativa de la libertad en el SRPA</w:t>
            </w:r>
          </w:p>
        </w:tc>
        <w:tc>
          <w:tcPr>
            <w:tcW w:w="221"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100%</w:t>
            </w:r>
          </w:p>
        </w:tc>
        <w:tc>
          <w:tcPr>
            <w:tcW w:w="566"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            1.248.490.999   </w:t>
            </w:r>
          </w:p>
        </w:tc>
        <w:tc>
          <w:tcPr>
            <w:tcW w:w="254"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100%</w:t>
            </w:r>
          </w:p>
        </w:tc>
        <w:tc>
          <w:tcPr>
            <w:tcW w:w="568"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            1.248.490.999   </w:t>
            </w:r>
          </w:p>
        </w:tc>
        <w:tc>
          <w:tcPr>
            <w:tcW w:w="2213" w:type="pct"/>
            <w:tcBorders>
              <w:top w:val="nil"/>
              <w:left w:val="single" w:sz="4" w:space="0" w:color="auto"/>
              <w:bottom w:val="single" w:sz="4" w:space="0" w:color="auto"/>
              <w:right w:val="single" w:sz="4" w:space="0" w:color="auto"/>
            </w:tcBorders>
            <w:shd w:val="clear" w:color="auto" w:fill="auto"/>
            <w:hideMark/>
          </w:tcPr>
          <w:p w:rsidR="002E0574" w:rsidRPr="00B3694F" w:rsidRDefault="002E0574" w:rsidP="007B005E">
            <w:pPr>
              <w:spacing w:after="0" w:line="240" w:lineRule="auto"/>
              <w:rPr>
                <w:rFonts w:ascii="Arial" w:hAnsi="Arial" w:cs="Arial"/>
                <w:sz w:val="16"/>
                <w:szCs w:val="16"/>
                <w:lang w:eastAsia="es-CO"/>
              </w:rPr>
            </w:pPr>
            <w:r w:rsidRPr="00B3694F">
              <w:rPr>
                <w:rFonts w:ascii="Arial" w:hAnsi="Arial" w:cs="Arial"/>
                <w:sz w:val="16"/>
                <w:szCs w:val="16"/>
                <w:lang w:eastAsia="es-CO"/>
              </w:rPr>
              <w:t>Paralelo el diseño del modelo, se implementó en los 5 Centros de Atención Especializada los programas de justicia restaurativa, Cuenta hasta Diez, promoción de lectura, asesoría legal, formación artística, articulación institucional para la generación de oportunidades a través de educación formal y no formal.</w:t>
            </w:r>
            <w:r w:rsidRPr="00B3694F">
              <w:rPr>
                <w:rFonts w:ascii="Arial" w:hAnsi="Arial" w:cs="Arial"/>
                <w:sz w:val="16"/>
                <w:szCs w:val="16"/>
                <w:lang w:eastAsia="es-CO"/>
              </w:rPr>
              <w:br/>
            </w:r>
            <w:r w:rsidRPr="00B3694F">
              <w:rPr>
                <w:rFonts w:ascii="Arial" w:hAnsi="Arial" w:cs="Arial"/>
                <w:sz w:val="16"/>
                <w:szCs w:val="16"/>
                <w:lang w:eastAsia="es-CO"/>
              </w:rPr>
              <w:br/>
              <w:t>Convenio interadministrativo No. 810-2019 entre la SDSCJ y el Instituto Distrital de las Artes -IDARTES-</w:t>
            </w:r>
            <w:r w:rsidRPr="00B3694F">
              <w:rPr>
                <w:rFonts w:ascii="Arial" w:hAnsi="Arial" w:cs="Arial"/>
                <w:sz w:val="16"/>
                <w:szCs w:val="16"/>
                <w:lang w:eastAsia="es-CO"/>
              </w:rPr>
              <w:br/>
            </w:r>
            <w:r w:rsidRPr="00B3694F">
              <w:rPr>
                <w:rFonts w:ascii="Arial" w:hAnsi="Arial" w:cs="Arial"/>
                <w:sz w:val="16"/>
                <w:szCs w:val="16"/>
                <w:lang w:eastAsia="es-CO"/>
              </w:rPr>
              <w:br/>
              <w:t>Se realizaron talleres de artes plásticas, artes electrónicas, teatro, música, danza y creación literaria en todos los centros privativos y no privativos de la libertad del SRPA en la ciudad de Bogotá desde el mes de mayo hasta noviembre de 2019.</w:t>
            </w:r>
            <w:r w:rsidRPr="00B3694F">
              <w:rPr>
                <w:rFonts w:ascii="Arial" w:hAnsi="Arial" w:cs="Arial"/>
                <w:sz w:val="16"/>
                <w:szCs w:val="16"/>
                <w:lang w:eastAsia="es-CO"/>
              </w:rPr>
              <w:br/>
            </w:r>
            <w:r w:rsidRPr="00B3694F">
              <w:rPr>
                <w:rFonts w:ascii="Arial" w:hAnsi="Arial" w:cs="Arial"/>
                <w:sz w:val="16"/>
                <w:szCs w:val="16"/>
                <w:lang w:eastAsia="es-CO"/>
              </w:rPr>
              <w:br/>
              <w:t xml:space="preserve">Los talleres además de apoyar a los participantes para adquirir un saber específico sobre una disciplina, buscaban convertir la formación artística en un medio para que los participantes lograrán transformaciones en la percepción de realidades y la construcción de nuevas formas de relacionamiento en la sociedad. </w:t>
            </w:r>
            <w:r w:rsidRPr="00B3694F">
              <w:rPr>
                <w:rFonts w:ascii="Arial" w:hAnsi="Arial" w:cs="Arial"/>
                <w:sz w:val="16"/>
                <w:szCs w:val="16"/>
                <w:lang w:eastAsia="es-CO"/>
              </w:rPr>
              <w:br/>
              <w:t>La metodología planteada facilitó la adherencia de los adolescentes y jóvenes en los procesos y que los talleres se convirtieran en un lugar cómodo y tranquilo para ellos, donde además de pasar un rato agradable, se abría un espacio para el diálogo y la reflexión.</w:t>
            </w:r>
          </w:p>
        </w:tc>
      </w:tr>
      <w:tr w:rsidR="00D21665" w:rsidRPr="00F948EE" w:rsidTr="000445F8">
        <w:trPr>
          <w:trHeight w:val="3285"/>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lastRenderedPageBreak/>
              <w:t>7513</w:t>
            </w:r>
          </w:p>
        </w:tc>
        <w:tc>
          <w:tcPr>
            <w:tcW w:w="330" w:type="pct"/>
            <w:tcBorders>
              <w:top w:val="nil"/>
              <w:left w:val="nil"/>
              <w:bottom w:val="nil"/>
              <w:right w:val="nil"/>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5</w:t>
            </w:r>
          </w:p>
        </w:tc>
        <w:tc>
          <w:tcPr>
            <w:tcW w:w="472"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Diseñar e implementar en un  100% el Modelo de Atención Restaurativo en los equipamientos de justicia del Distrito.</w:t>
            </w:r>
          </w:p>
        </w:tc>
        <w:tc>
          <w:tcPr>
            <w:tcW w:w="2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25%</w:t>
            </w:r>
          </w:p>
        </w:tc>
        <w:tc>
          <w:tcPr>
            <w:tcW w:w="566"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               698.029.646   </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25%</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              642.520.546   </w:t>
            </w:r>
          </w:p>
        </w:tc>
        <w:tc>
          <w:tcPr>
            <w:tcW w:w="2213" w:type="pct"/>
            <w:tcBorders>
              <w:top w:val="single" w:sz="4" w:space="0" w:color="auto"/>
              <w:left w:val="single" w:sz="4" w:space="0" w:color="auto"/>
              <w:bottom w:val="single" w:sz="4" w:space="0" w:color="auto"/>
              <w:right w:val="single" w:sz="4" w:space="0" w:color="auto"/>
            </w:tcBorders>
            <w:shd w:val="clear" w:color="auto" w:fill="auto"/>
            <w:hideMark/>
          </w:tcPr>
          <w:p w:rsidR="002E0574" w:rsidRPr="00B3694F" w:rsidRDefault="002E0574" w:rsidP="007B005E">
            <w:pPr>
              <w:spacing w:after="0" w:line="240" w:lineRule="auto"/>
              <w:rPr>
                <w:rFonts w:ascii="Arial" w:hAnsi="Arial" w:cs="Arial"/>
                <w:sz w:val="16"/>
                <w:szCs w:val="16"/>
                <w:lang w:eastAsia="es-CO"/>
              </w:rPr>
            </w:pPr>
            <w:r w:rsidRPr="00B3694F">
              <w:rPr>
                <w:rFonts w:ascii="Arial" w:hAnsi="Arial" w:cs="Arial"/>
                <w:sz w:val="16"/>
                <w:szCs w:val="16"/>
                <w:lang w:eastAsia="es-CO"/>
              </w:rPr>
              <w:t>• Documento para la implementación del enfoque restaurativo en los equipamientos de Justicia del Distrito</w:t>
            </w:r>
            <w:r w:rsidRPr="00B3694F">
              <w:rPr>
                <w:rFonts w:ascii="Arial" w:hAnsi="Arial" w:cs="Arial"/>
                <w:sz w:val="16"/>
                <w:szCs w:val="16"/>
                <w:lang w:eastAsia="es-CO"/>
              </w:rPr>
              <w:br/>
              <w:t xml:space="preserve"> </w:t>
            </w:r>
            <w:r w:rsidRPr="00B3694F">
              <w:rPr>
                <w:rFonts w:ascii="Arial" w:hAnsi="Arial" w:cs="Arial"/>
                <w:sz w:val="16"/>
                <w:szCs w:val="16"/>
                <w:lang w:eastAsia="es-CO"/>
              </w:rPr>
              <w:br/>
              <w:t xml:space="preserve">En el desarrollo de la construcción de una metodología de implementación para el Enfoque de Atención Restaurativo, durante el último trimestre del año 2018 e inicios del 2019, se llevó a cabo la publicación en intranet de los documentos “Metodología de Enfoque de Atención Restaurativa en los Equipamientos de Justicia de la SDSCJ” con código: MA-AL-1 y “Manual de Implementación de Prácticas Restaurativas en el Ejercicio de Métodos de Solución de Conflictos”, código MA-AL-3. </w:t>
            </w:r>
            <w:r w:rsidRPr="00B3694F">
              <w:rPr>
                <w:rFonts w:ascii="Arial" w:hAnsi="Arial" w:cs="Arial"/>
                <w:sz w:val="16"/>
                <w:szCs w:val="16"/>
                <w:lang w:eastAsia="es-CO"/>
              </w:rPr>
              <w:br/>
            </w:r>
            <w:r w:rsidRPr="00B3694F">
              <w:rPr>
                <w:rFonts w:ascii="Arial" w:hAnsi="Arial" w:cs="Arial"/>
                <w:sz w:val="16"/>
                <w:szCs w:val="16"/>
                <w:lang w:eastAsia="es-CO"/>
              </w:rPr>
              <w:br/>
              <w:t>En esa medida, para dar alcance a las acciones proyectadas en los documentos descritos, a partir del mes de abril se formuló una estrategia de implementación con el fin de sensibilizar a los funcionarios y contratistas integrantes de los equipos territoriales en el ejercicio de prácticas restaurativas y diferenciales para la atención a la ciudadanía (Unidades de Mediación y Conciliación, Centro de Recepción de Información, Recepción y Coordinación de Casa de Justicia).  Así mismo, en el marco de la Línea de Fortalecimiento a la Labor de los Actores de Justicia Comunitaria, se proyectaron contenidos de capacitación con enfoque restaurativo y diferencial que acompañen la solución pacífica de conflictos en el ejercicio de la mediación y la conciliación.</w:t>
            </w:r>
            <w:r w:rsidRPr="00B3694F">
              <w:rPr>
                <w:rFonts w:ascii="Arial" w:hAnsi="Arial" w:cs="Arial"/>
                <w:sz w:val="16"/>
                <w:szCs w:val="16"/>
                <w:lang w:eastAsia="es-CO"/>
              </w:rPr>
              <w:br/>
            </w:r>
            <w:r w:rsidRPr="00B3694F">
              <w:rPr>
                <w:rFonts w:ascii="Arial" w:hAnsi="Arial" w:cs="Arial"/>
                <w:sz w:val="16"/>
                <w:szCs w:val="16"/>
                <w:lang w:eastAsia="es-CO"/>
              </w:rPr>
              <w:br/>
              <w:t>Respecto del Centro de Traslado por Protección el documento señala los componentes de Modelo de Atención aplicable tanto para las personas que son trasladadas por protección a las instalaciones como para el equipo de trabajo que las realiza, partiendo de dos ejes, uno, el respeto irrestricto de los derechos humanos de las personas y dos, el enfoque de justicia restaurativa. Con las actividades que componen el Modelo se socializa los derechos y deberes, principios rectores del Código de Policía y Convivencia y corresponsabilidad ciudadana.</w:t>
            </w:r>
          </w:p>
        </w:tc>
      </w:tr>
      <w:tr w:rsidR="00D21665" w:rsidRPr="00F948EE" w:rsidTr="000445F8">
        <w:trPr>
          <w:trHeight w:val="4590"/>
        </w:trPr>
        <w:tc>
          <w:tcPr>
            <w:tcW w:w="188" w:type="pct"/>
            <w:tcBorders>
              <w:top w:val="nil"/>
              <w:left w:val="single" w:sz="4" w:space="0" w:color="auto"/>
              <w:bottom w:val="nil"/>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lastRenderedPageBreak/>
              <w:t>7513</w:t>
            </w:r>
          </w:p>
        </w:tc>
        <w:tc>
          <w:tcPr>
            <w:tcW w:w="330" w:type="pct"/>
            <w:tcBorders>
              <w:top w:val="nil"/>
              <w:left w:val="nil"/>
              <w:bottom w:val="nil"/>
              <w:right w:val="nil"/>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p>
        </w:tc>
        <w:tc>
          <w:tcPr>
            <w:tcW w:w="189" w:type="pct"/>
            <w:tcBorders>
              <w:top w:val="nil"/>
              <w:left w:val="single" w:sz="4" w:space="0" w:color="auto"/>
              <w:bottom w:val="nil"/>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4</w:t>
            </w:r>
          </w:p>
        </w:tc>
        <w:tc>
          <w:tcPr>
            <w:tcW w:w="472"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Diseñar e implementar 5 campañas De difusión que den cuenta del impacto de la aplicación del Código Nacional de Policía en poblaciones consideradas sujeto de especial protección (LGBTI, adolescentes y jóvenes, habitantes de/en calle,</w:t>
            </w:r>
            <w:r w:rsidRPr="00B3694F">
              <w:rPr>
                <w:rFonts w:ascii="Arial" w:hAnsi="Arial" w:cs="Arial"/>
                <w:sz w:val="16"/>
                <w:szCs w:val="16"/>
                <w:lang w:eastAsia="es-CO"/>
              </w:rPr>
              <w:br/>
              <w:t>personas que ejercen la prostitución, y otras</w:t>
            </w:r>
          </w:p>
        </w:tc>
        <w:tc>
          <w:tcPr>
            <w:tcW w:w="221" w:type="pct"/>
            <w:tcBorders>
              <w:top w:val="nil"/>
              <w:left w:val="single" w:sz="4" w:space="0" w:color="auto"/>
              <w:bottom w:val="single" w:sz="4" w:space="0" w:color="auto"/>
              <w:right w:val="single" w:sz="4" w:space="0" w:color="auto"/>
            </w:tcBorders>
            <w:shd w:val="clear" w:color="auto" w:fill="auto"/>
            <w:noWrap/>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1</w:t>
            </w:r>
          </w:p>
        </w:tc>
        <w:tc>
          <w:tcPr>
            <w:tcW w:w="566"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               200.000.000   </w:t>
            </w:r>
          </w:p>
        </w:tc>
        <w:tc>
          <w:tcPr>
            <w:tcW w:w="254" w:type="pct"/>
            <w:tcBorders>
              <w:top w:val="nil"/>
              <w:left w:val="nil"/>
              <w:bottom w:val="single" w:sz="4" w:space="0" w:color="auto"/>
              <w:right w:val="single" w:sz="4" w:space="0" w:color="auto"/>
            </w:tcBorders>
            <w:shd w:val="clear" w:color="auto" w:fill="auto"/>
            <w:noWrap/>
            <w:vAlign w:val="center"/>
            <w:hideMark/>
          </w:tcPr>
          <w:p w:rsidR="002E0574" w:rsidRPr="00B3694F" w:rsidRDefault="002E0574" w:rsidP="007B005E">
            <w:pPr>
              <w:spacing w:after="0" w:line="240" w:lineRule="auto"/>
              <w:jc w:val="center"/>
              <w:rPr>
                <w:rFonts w:ascii="Arial" w:hAnsi="Arial" w:cs="Arial"/>
                <w:sz w:val="16"/>
                <w:szCs w:val="16"/>
                <w:lang w:eastAsia="es-CO"/>
              </w:rPr>
            </w:pPr>
            <w:r w:rsidRPr="00B3694F">
              <w:rPr>
                <w:rFonts w:ascii="Arial" w:hAnsi="Arial" w:cs="Arial"/>
                <w:sz w:val="16"/>
                <w:szCs w:val="16"/>
                <w:lang w:eastAsia="es-CO"/>
              </w:rPr>
              <w:t>1</w:t>
            </w:r>
          </w:p>
        </w:tc>
        <w:tc>
          <w:tcPr>
            <w:tcW w:w="568"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              200.000.000   </w:t>
            </w:r>
          </w:p>
        </w:tc>
        <w:tc>
          <w:tcPr>
            <w:tcW w:w="2213" w:type="pct"/>
            <w:tcBorders>
              <w:top w:val="nil"/>
              <w:left w:val="single" w:sz="4" w:space="0" w:color="auto"/>
              <w:bottom w:val="single" w:sz="4" w:space="0" w:color="auto"/>
              <w:right w:val="single" w:sz="4" w:space="0" w:color="auto"/>
            </w:tcBorders>
            <w:shd w:val="clear" w:color="auto" w:fill="auto"/>
            <w:hideMark/>
          </w:tcPr>
          <w:p w:rsidR="002E0574" w:rsidRPr="00B3694F" w:rsidRDefault="002E0574" w:rsidP="006D183D">
            <w:pPr>
              <w:spacing w:after="0" w:line="240" w:lineRule="auto"/>
              <w:rPr>
                <w:rFonts w:ascii="Arial" w:hAnsi="Arial" w:cs="Arial"/>
                <w:sz w:val="16"/>
                <w:szCs w:val="16"/>
                <w:lang w:eastAsia="es-CO"/>
              </w:rPr>
            </w:pPr>
            <w:r w:rsidRPr="00B3694F">
              <w:rPr>
                <w:rFonts w:ascii="Arial" w:hAnsi="Arial" w:cs="Arial"/>
                <w:sz w:val="16"/>
                <w:szCs w:val="16"/>
                <w:lang w:eastAsia="es-CO"/>
              </w:rPr>
              <w:t>Con el objetivo de ampliar el acceso a la justicia en el Distrito y promocionar todos los servicios y programas que tiene la entidad,</w:t>
            </w:r>
            <w:r w:rsidR="00876459">
              <w:rPr>
                <w:rFonts w:ascii="Arial" w:hAnsi="Arial" w:cs="Arial"/>
                <w:sz w:val="16"/>
                <w:szCs w:val="16"/>
                <w:lang w:eastAsia="es-CO"/>
              </w:rPr>
              <w:t xml:space="preserve"> la SDSCJ adjudicó mediante la Res.</w:t>
            </w:r>
            <w:r w:rsidRPr="00B3694F">
              <w:rPr>
                <w:rFonts w:ascii="Arial" w:hAnsi="Arial" w:cs="Arial"/>
                <w:sz w:val="16"/>
                <w:szCs w:val="16"/>
                <w:lang w:eastAsia="es-CO"/>
              </w:rPr>
              <w:t xml:space="preserve"> Nº 413 del 16 de agosto de 2019, el Proceso de Licitación Pública Nº SCJ-SIF-LP-004-2019 al CONSORCIO NACIONAL DE MEDIOS S.A., quien ejecutó estrategias de comunicación y diseñó planes de medios de carácter masivo o de nicho, a saber: • Pauta en portales WEB de alto tráfico, así como en Facebook y YouTube</w:t>
            </w:r>
            <w:r w:rsidR="005E7A0E">
              <w:rPr>
                <w:rFonts w:ascii="Arial" w:hAnsi="Arial" w:cs="Arial"/>
                <w:sz w:val="16"/>
                <w:szCs w:val="16"/>
                <w:lang w:eastAsia="es-CO"/>
              </w:rPr>
              <w:t xml:space="preserve"> </w:t>
            </w:r>
            <w:r w:rsidRPr="00B3694F">
              <w:rPr>
                <w:rFonts w:ascii="Arial" w:hAnsi="Arial" w:cs="Arial"/>
                <w:sz w:val="16"/>
                <w:szCs w:val="16"/>
                <w:lang w:eastAsia="es-CO"/>
              </w:rPr>
              <w:t>• Pauta en medios impresos (prensa) tales como ADN y Q´Hubo</w:t>
            </w:r>
            <w:r w:rsidR="005E7A0E">
              <w:rPr>
                <w:rFonts w:ascii="Arial" w:hAnsi="Arial" w:cs="Arial"/>
                <w:sz w:val="16"/>
                <w:szCs w:val="16"/>
                <w:lang w:eastAsia="es-CO"/>
              </w:rPr>
              <w:t xml:space="preserve"> </w:t>
            </w:r>
            <w:r w:rsidRPr="00B3694F">
              <w:rPr>
                <w:rFonts w:ascii="Arial" w:hAnsi="Arial" w:cs="Arial"/>
                <w:sz w:val="16"/>
                <w:szCs w:val="16"/>
                <w:lang w:eastAsia="es-CO"/>
              </w:rPr>
              <w:t>• Pauta en medios radiales tales como La KAlle, Candela St., Radio 1 y Vibra Bogotá.</w:t>
            </w:r>
            <w:r w:rsidR="00F040EA">
              <w:rPr>
                <w:rFonts w:ascii="Arial" w:hAnsi="Arial" w:cs="Arial"/>
                <w:sz w:val="16"/>
                <w:szCs w:val="16"/>
                <w:lang w:eastAsia="es-CO"/>
              </w:rPr>
              <w:t xml:space="preserve">  </w:t>
            </w:r>
            <w:r w:rsidRPr="00B3694F">
              <w:rPr>
                <w:rFonts w:ascii="Arial" w:hAnsi="Arial" w:cs="Arial"/>
                <w:sz w:val="16"/>
                <w:szCs w:val="16"/>
                <w:lang w:eastAsia="es-CO"/>
              </w:rPr>
              <w:t>Adicionalmente y en el marco del P</w:t>
            </w:r>
            <w:r w:rsidR="005E7A0E">
              <w:rPr>
                <w:rFonts w:ascii="Arial" w:hAnsi="Arial" w:cs="Arial"/>
                <w:sz w:val="16"/>
                <w:szCs w:val="16"/>
                <w:lang w:eastAsia="es-CO"/>
              </w:rPr>
              <w:t>DD</w:t>
            </w:r>
            <w:r w:rsidRPr="00B3694F">
              <w:rPr>
                <w:rFonts w:ascii="Arial" w:hAnsi="Arial" w:cs="Arial"/>
                <w:sz w:val="16"/>
                <w:szCs w:val="16"/>
                <w:lang w:eastAsia="es-CO"/>
              </w:rPr>
              <w:t>, durante el año 2019 se realizaron las siguientes campañas:</w:t>
            </w:r>
            <w:r>
              <w:rPr>
                <w:rFonts w:ascii="Arial" w:hAnsi="Arial" w:cs="Arial"/>
                <w:sz w:val="16"/>
                <w:szCs w:val="16"/>
                <w:lang w:eastAsia="es-CO"/>
              </w:rPr>
              <w:t xml:space="preserve">  </w:t>
            </w:r>
            <w:r w:rsidRPr="00B3694F">
              <w:rPr>
                <w:rFonts w:ascii="Arial" w:hAnsi="Arial" w:cs="Arial"/>
                <w:sz w:val="16"/>
                <w:szCs w:val="16"/>
                <w:lang w:eastAsia="es-CO"/>
              </w:rPr>
              <w:t>• Campaña de difusión en Transmilenio:  Para dar a conocer el programa de Casas de Justicia, el cual busca superar las barreras de acceso a la justicia en la ciudadanía, ofreciendo servicios e infraestructura de calidad que contribuyan a la promoción de la seguridad y la convivencia en la ciudad, se instalaron avisos publicitarios tipo backing en los portales de TransMilenio: Norte, Calle 80, Suba, Sur, Américas y Usme, con información de la dirección y te</w:t>
            </w:r>
            <w:r w:rsidR="00872C89">
              <w:rPr>
                <w:rFonts w:ascii="Arial" w:hAnsi="Arial" w:cs="Arial"/>
                <w:sz w:val="16"/>
                <w:szCs w:val="16"/>
                <w:lang w:eastAsia="es-CO"/>
              </w:rPr>
              <w:t>léfono de las Casas de Justicia</w:t>
            </w:r>
            <w:r w:rsidRPr="00B3694F">
              <w:rPr>
                <w:rFonts w:ascii="Arial" w:hAnsi="Arial" w:cs="Arial"/>
                <w:sz w:val="16"/>
                <w:szCs w:val="16"/>
                <w:lang w:eastAsia="es-CO"/>
              </w:rPr>
              <w:t>, así como, los servicios prestados en las mismas, relacionados con conflictos de arrendamiento, violencia intrafamiliar, deudas, custodia y cuota alimentaria de menores de edad.</w:t>
            </w:r>
            <w:r w:rsidR="00872C89">
              <w:rPr>
                <w:rFonts w:ascii="Arial" w:hAnsi="Arial" w:cs="Arial"/>
                <w:sz w:val="16"/>
                <w:szCs w:val="16"/>
                <w:lang w:eastAsia="es-CO"/>
              </w:rPr>
              <w:t xml:space="preserve">  </w:t>
            </w:r>
            <w:r w:rsidRPr="00B3694F">
              <w:rPr>
                <w:rFonts w:ascii="Arial" w:hAnsi="Arial" w:cs="Arial"/>
                <w:sz w:val="16"/>
                <w:szCs w:val="16"/>
                <w:lang w:eastAsia="es-CO"/>
              </w:rPr>
              <w:t>• Campaña de difusión en la Biblioteca el Tintal: En el marco del programa de Casas de Justicia y con el apoyo de la Secretaria de Cultura, Recreación y Deporte, a través, de la Red Distrital de Bibliotecas Públicas de Bogotá - BIBLIORED, se instalaron en la Biblioteca el Tintal de la localidad de Kennedy, avisos publicitarios tipo backing para dar a conocer los servicios que prestan las Casas de Justicia, en cuanto a conflictos de violencia intrafamiliar y custodia y cuota alimentaria de menores de edad.</w:t>
            </w:r>
            <w:r>
              <w:rPr>
                <w:rFonts w:ascii="Arial" w:hAnsi="Arial" w:cs="Arial"/>
                <w:sz w:val="16"/>
                <w:szCs w:val="16"/>
                <w:lang w:eastAsia="es-CO"/>
              </w:rPr>
              <w:t xml:space="preserve">  </w:t>
            </w:r>
            <w:r w:rsidRPr="00B3694F">
              <w:rPr>
                <w:rFonts w:ascii="Arial" w:hAnsi="Arial" w:cs="Arial"/>
                <w:sz w:val="16"/>
                <w:szCs w:val="16"/>
                <w:lang w:eastAsia="es-CO"/>
              </w:rPr>
              <w:t>• Campaña de difusión en Casas de Justicia móvil: Con el fin de dar a conocer los servicios ofertados por las Casas de Justicia y el Sistema Distrital de Justicia a los habitantes del Distrito Capital, desde la Dirección de Acceso a la Justicia y el con apoyo de la Oficina de Comunicaciones, se viene difundiendo un audio en las unidades móviles, mientras se recorren los diferentes barrios de las localidades</w:t>
            </w:r>
            <w:r w:rsidR="00F57DEA">
              <w:rPr>
                <w:rFonts w:ascii="Arial" w:hAnsi="Arial" w:cs="Arial"/>
                <w:sz w:val="16"/>
                <w:szCs w:val="16"/>
                <w:lang w:eastAsia="es-CO"/>
              </w:rPr>
              <w:t xml:space="preserve">, </w:t>
            </w:r>
            <w:r w:rsidRPr="00B3694F">
              <w:rPr>
                <w:rFonts w:ascii="Arial" w:hAnsi="Arial" w:cs="Arial"/>
                <w:sz w:val="16"/>
                <w:szCs w:val="16"/>
                <w:lang w:eastAsia="es-CO"/>
              </w:rPr>
              <w:t>invita</w:t>
            </w:r>
            <w:r w:rsidR="00F57DEA">
              <w:rPr>
                <w:rFonts w:ascii="Arial" w:hAnsi="Arial" w:cs="Arial"/>
                <w:sz w:val="16"/>
                <w:szCs w:val="16"/>
                <w:lang w:eastAsia="es-CO"/>
              </w:rPr>
              <w:t>ndo</w:t>
            </w:r>
            <w:r w:rsidRPr="00B3694F">
              <w:rPr>
                <w:rFonts w:ascii="Arial" w:hAnsi="Arial" w:cs="Arial"/>
                <w:sz w:val="16"/>
                <w:szCs w:val="16"/>
                <w:lang w:eastAsia="es-CO"/>
              </w:rPr>
              <w:t xml:space="preserve"> a la ciudadanía a visitar los equipamientos y promociona</w:t>
            </w:r>
            <w:r w:rsidR="00B164BC">
              <w:rPr>
                <w:rFonts w:ascii="Arial" w:hAnsi="Arial" w:cs="Arial"/>
                <w:sz w:val="16"/>
                <w:szCs w:val="16"/>
                <w:lang w:eastAsia="es-CO"/>
              </w:rPr>
              <w:t>r</w:t>
            </w:r>
            <w:r w:rsidRPr="00B3694F">
              <w:rPr>
                <w:rFonts w:ascii="Arial" w:hAnsi="Arial" w:cs="Arial"/>
                <w:sz w:val="16"/>
                <w:szCs w:val="16"/>
                <w:lang w:eastAsia="es-CO"/>
              </w:rPr>
              <w:t xml:space="preserve"> los servicios del Sistema Distrital de Justicia.</w:t>
            </w:r>
            <w:r>
              <w:rPr>
                <w:rFonts w:ascii="Arial" w:hAnsi="Arial" w:cs="Arial"/>
                <w:sz w:val="16"/>
                <w:szCs w:val="16"/>
                <w:lang w:eastAsia="es-CO"/>
              </w:rPr>
              <w:t xml:space="preserve">  </w:t>
            </w:r>
            <w:r w:rsidRPr="00A1487D">
              <w:rPr>
                <w:rFonts w:ascii="Arial" w:hAnsi="Arial" w:cs="Arial"/>
                <w:sz w:val="14"/>
                <w:szCs w:val="14"/>
                <w:lang w:eastAsia="es-CO"/>
              </w:rPr>
              <w:t>• Campaña de difusión en te</w:t>
            </w:r>
            <w:r w:rsidR="00B164BC" w:rsidRPr="00A1487D">
              <w:rPr>
                <w:rFonts w:ascii="Arial" w:hAnsi="Arial" w:cs="Arial"/>
                <w:sz w:val="14"/>
                <w:szCs w:val="14"/>
                <w:lang w:eastAsia="es-CO"/>
              </w:rPr>
              <w:t>levisores de Casas de Justicia, dando a</w:t>
            </w:r>
            <w:r w:rsidRPr="00A1487D">
              <w:rPr>
                <w:rFonts w:ascii="Arial" w:hAnsi="Arial" w:cs="Arial"/>
                <w:sz w:val="14"/>
                <w:szCs w:val="14"/>
                <w:lang w:eastAsia="es-CO"/>
              </w:rPr>
              <w:t xml:space="preserve"> conocer los servicios ofertados por las Casas de Justicia y el Sistema Distrital de Justicia a los habitantes del Distrito</w:t>
            </w:r>
            <w:r w:rsidR="00B164BC" w:rsidRPr="00A1487D">
              <w:rPr>
                <w:rFonts w:ascii="Arial" w:hAnsi="Arial" w:cs="Arial"/>
                <w:sz w:val="14"/>
                <w:szCs w:val="14"/>
                <w:lang w:eastAsia="es-CO"/>
              </w:rPr>
              <w:t xml:space="preserve"> Capital, desde la Dirección </w:t>
            </w:r>
            <w:r w:rsidRPr="00A1487D">
              <w:rPr>
                <w:rFonts w:ascii="Arial" w:hAnsi="Arial" w:cs="Arial"/>
                <w:sz w:val="14"/>
                <w:szCs w:val="14"/>
                <w:lang w:eastAsia="es-CO"/>
              </w:rPr>
              <w:t xml:space="preserve">Acceso a la Justicia y el con apoyo de la Oficina de </w:t>
            </w:r>
            <w:r w:rsidR="00B164BC" w:rsidRPr="00A1487D">
              <w:rPr>
                <w:rFonts w:ascii="Arial" w:hAnsi="Arial" w:cs="Arial"/>
                <w:sz w:val="14"/>
                <w:szCs w:val="14"/>
                <w:lang w:eastAsia="es-CO"/>
              </w:rPr>
              <w:t>c</w:t>
            </w:r>
            <w:r w:rsidRPr="00A1487D">
              <w:rPr>
                <w:rFonts w:ascii="Arial" w:hAnsi="Arial" w:cs="Arial"/>
                <w:sz w:val="14"/>
                <w:szCs w:val="14"/>
                <w:lang w:eastAsia="es-CO"/>
              </w:rPr>
              <w:t>omunicaciones, se viene difundiendo un reel de imágenes institucionales en las pantallas instaladas en las 13 Casas de Justicia, que promocionan los servicios del Sistema Distrital de Justicia.</w:t>
            </w:r>
          </w:p>
        </w:tc>
      </w:tr>
      <w:tr w:rsidR="00D21665" w:rsidRPr="00F948EE" w:rsidTr="000445F8">
        <w:trPr>
          <w:trHeight w:val="2715"/>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lastRenderedPageBreak/>
              <w:t>7532</w:t>
            </w:r>
          </w:p>
        </w:tc>
        <w:tc>
          <w:tcPr>
            <w:tcW w:w="330" w:type="pct"/>
            <w:tcBorders>
              <w:top w:val="single" w:sz="4" w:space="0" w:color="auto"/>
              <w:left w:val="nil"/>
              <w:bottom w:val="nil"/>
              <w:right w:val="nil"/>
            </w:tcBorders>
            <w:shd w:val="clear" w:color="auto" w:fill="auto"/>
            <w:noWrap/>
            <w:vAlign w:val="bottom"/>
            <w:hideMark/>
          </w:tcPr>
          <w:p w:rsidR="002E0574" w:rsidRPr="00B3694F" w:rsidRDefault="002E0574" w:rsidP="007B005E">
            <w:pPr>
              <w:spacing w:after="0" w:line="240" w:lineRule="auto"/>
              <w:rPr>
                <w:rFonts w:ascii="Arial" w:hAnsi="Arial" w:cs="Arial"/>
                <w:color w:val="000000"/>
                <w:sz w:val="16"/>
                <w:szCs w:val="16"/>
                <w:lang w:eastAsia="es-CO"/>
              </w:rPr>
            </w:pPr>
            <w:r w:rsidRPr="00B3694F">
              <w:rPr>
                <w:rFonts w:ascii="Arial" w:hAnsi="Arial" w:cs="Arial"/>
                <w:color w:val="000000"/>
                <w:sz w:val="16"/>
                <w:szCs w:val="16"/>
                <w:lang w:eastAsia="es-CO"/>
              </w:rPr>
              <w:t> </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w:t>
            </w:r>
          </w:p>
        </w:tc>
        <w:tc>
          <w:tcPr>
            <w:tcW w:w="472"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 xml:space="preserve">Implementar 100 por ciento los programas para medidas correctivas  </w:t>
            </w:r>
          </w:p>
        </w:tc>
        <w:tc>
          <w:tcPr>
            <w:tcW w:w="221" w:type="pct"/>
            <w:tcBorders>
              <w:top w:val="nil"/>
              <w:left w:val="single" w:sz="4" w:space="0" w:color="auto"/>
              <w:bottom w:val="single" w:sz="4" w:space="0" w:color="auto"/>
              <w:right w:val="single" w:sz="4" w:space="0" w:color="auto"/>
            </w:tcBorders>
            <w:shd w:val="clear" w:color="auto" w:fill="auto"/>
            <w:noWrap/>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100%</w:t>
            </w:r>
          </w:p>
        </w:tc>
        <w:tc>
          <w:tcPr>
            <w:tcW w:w="566"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952.843.205 </w:t>
            </w:r>
          </w:p>
        </w:tc>
        <w:tc>
          <w:tcPr>
            <w:tcW w:w="254" w:type="pct"/>
            <w:tcBorders>
              <w:top w:val="nil"/>
              <w:left w:val="nil"/>
              <w:bottom w:val="single" w:sz="4" w:space="0" w:color="auto"/>
              <w:right w:val="single" w:sz="4" w:space="0" w:color="auto"/>
            </w:tcBorders>
            <w:shd w:val="clear" w:color="auto" w:fill="auto"/>
            <w:noWrap/>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100,0%</w:t>
            </w:r>
          </w:p>
        </w:tc>
        <w:tc>
          <w:tcPr>
            <w:tcW w:w="568"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942.706.524 </w:t>
            </w:r>
          </w:p>
        </w:tc>
        <w:tc>
          <w:tcPr>
            <w:tcW w:w="2213" w:type="pct"/>
            <w:tcBorders>
              <w:top w:val="nil"/>
              <w:left w:val="single" w:sz="4" w:space="0" w:color="auto"/>
              <w:bottom w:val="single" w:sz="4" w:space="0" w:color="auto"/>
              <w:right w:val="single" w:sz="4" w:space="0" w:color="auto"/>
            </w:tcBorders>
            <w:shd w:val="clear" w:color="auto" w:fill="auto"/>
            <w:hideMark/>
          </w:tcPr>
          <w:p w:rsidR="002E0574" w:rsidRPr="00B3694F" w:rsidRDefault="002E0574" w:rsidP="007B005E">
            <w:pPr>
              <w:spacing w:after="0" w:line="240" w:lineRule="auto"/>
              <w:rPr>
                <w:rFonts w:ascii="Arial" w:hAnsi="Arial" w:cs="Arial"/>
                <w:sz w:val="16"/>
                <w:szCs w:val="16"/>
                <w:lang w:eastAsia="es-CO"/>
              </w:rPr>
            </w:pPr>
            <w:r w:rsidRPr="00B3694F">
              <w:rPr>
                <w:rFonts w:ascii="Arial" w:hAnsi="Arial" w:cs="Arial"/>
                <w:sz w:val="16"/>
                <w:szCs w:val="16"/>
                <w:lang w:eastAsia="es-CO"/>
              </w:rPr>
              <w:t>1) FORTALECIMIENTO CURSOS  Durante el periodo de 1 de octubre al 30 de noviembre de 2019 se realizaron cursos a 8.526 personas, en los cursos alternativos en calle realizados en la localidad de Kennedy y Mártires y las seis (6) casas de justicia habilitadas para el desarrollo de las actividades pedagógicas de convivencia, establecidas en el parágrafo del artículo 180 de la Ley 1801 de 2016.</w:t>
            </w:r>
            <w:r w:rsidRPr="00B3694F">
              <w:rPr>
                <w:rFonts w:ascii="Arial" w:hAnsi="Arial" w:cs="Arial"/>
                <w:sz w:val="16"/>
                <w:szCs w:val="16"/>
                <w:lang w:eastAsia="es-CO"/>
              </w:rPr>
              <w:br/>
            </w:r>
            <w:r w:rsidRPr="00B3694F">
              <w:rPr>
                <w:rFonts w:ascii="Arial" w:hAnsi="Arial" w:cs="Arial"/>
                <w:sz w:val="16"/>
                <w:szCs w:val="16"/>
                <w:lang w:eastAsia="es-CO"/>
              </w:rPr>
              <w:br/>
              <w:t>2) PROGRAMA COMUNITARIO. En el mes de diciembre se expidió el Decreto 795 de 2018 el cual reglamenta el programa comunitario en la ciudad de Bogotá, establecido en la Ley 1801 de 2016, el cual requiere para su implementación la adquisición de pólizas de accidente que cubran el riesgo para los infractores que decidan adoptar este mecanismo de conmutabilidad, o que sea ordenado por la autoridad de Policía competente.</w:t>
            </w:r>
            <w:r w:rsidRPr="00B3694F">
              <w:rPr>
                <w:rFonts w:ascii="Arial" w:hAnsi="Arial" w:cs="Arial"/>
                <w:sz w:val="16"/>
                <w:szCs w:val="16"/>
                <w:lang w:eastAsia="es-CO"/>
              </w:rPr>
              <w:br/>
              <w:t>Para el periodo de 1 de octubre al 31 de diciembre de 2019, esta medida correctiva ha contado con la participación de diferentes entidades tales como: IDRD, IDPYBA, DADEP, IDPC, entre otros, y de la cual ha sido participes 1.238 infractores.</w:t>
            </w:r>
            <w:r w:rsidRPr="00B3694F">
              <w:rPr>
                <w:rFonts w:ascii="Arial" w:hAnsi="Arial" w:cs="Arial"/>
                <w:sz w:val="16"/>
                <w:szCs w:val="16"/>
                <w:lang w:eastAsia="es-CO"/>
              </w:rPr>
              <w:br/>
            </w:r>
            <w:r w:rsidRPr="00B3694F">
              <w:rPr>
                <w:rFonts w:ascii="Arial" w:hAnsi="Arial" w:cs="Arial"/>
                <w:sz w:val="16"/>
                <w:szCs w:val="16"/>
                <w:lang w:eastAsia="es-CO"/>
              </w:rPr>
              <w:br/>
              <w:t>3) Línea  123: A raíz del uso inadecuado de la línea  123 y la aplicación del protocolo de llamadas bromas, diseñado para el fortalecimiento en materia de aplicación del Art.  35 Numeral  7 de la ley  1801 de 2016, desde el mes de mayo  se asignó a una persona, la cual durante el periodo de 1 de octubre al 31 de diciembre de 2019, se logró identificar más de 101 llamadas broma.</w:t>
            </w:r>
          </w:p>
        </w:tc>
      </w:tr>
      <w:tr w:rsidR="00D21665" w:rsidRPr="00F948EE" w:rsidTr="000445F8">
        <w:trPr>
          <w:trHeight w:val="2595"/>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7532</w:t>
            </w:r>
          </w:p>
        </w:tc>
        <w:tc>
          <w:tcPr>
            <w:tcW w:w="330" w:type="pct"/>
            <w:tcBorders>
              <w:top w:val="nil"/>
              <w:left w:val="nil"/>
              <w:bottom w:val="nil"/>
              <w:right w:val="nil"/>
            </w:tcBorders>
            <w:shd w:val="clear" w:color="auto" w:fill="auto"/>
            <w:vAlign w:val="center"/>
            <w:hideMark/>
          </w:tcPr>
          <w:p w:rsidR="002E0574" w:rsidRPr="00B3694F" w:rsidRDefault="002E0574" w:rsidP="007B005E">
            <w:pPr>
              <w:spacing w:after="0" w:line="240" w:lineRule="auto"/>
              <w:rPr>
                <w:rFonts w:ascii="Arial" w:hAnsi="Arial" w:cs="Arial"/>
                <w:sz w:val="16"/>
                <w:szCs w:val="16"/>
                <w:lang w:eastAsia="es-CO"/>
              </w:rPr>
            </w:pPr>
            <w:r w:rsidRPr="00B3694F">
              <w:rPr>
                <w:rFonts w:ascii="Arial" w:hAnsi="Arial" w:cs="Arial"/>
                <w:sz w:val="16"/>
                <w:szCs w:val="16"/>
                <w:lang w:eastAsia="es-CO"/>
              </w:rPr>
              <w:t>IMPLEMENTACIÓN, PREVENCIÓN Y DIFUSIÓN DEL CÓDIGO NACIONAL DE POLICÍA Y CONVIVENCIA EN BOGOTÁ</w:t>
            </w:r>
          </w:p>
        </w:tc>
        <w:tc>
          <w:tcPr>
            <w:tcW w:w="189"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2</w:t>
            </w:r>
          </w:p>
        </w:tc>
        <w:tc>
          <w:tcPr>
            <w:tcW w:w="472"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Realizar 100 por ciento de las acciones pertinentes para realizar el  cobro persuasivo.</w:t>
            </w:r>
          </w:p>
        </w:tc>
        <w:tc>
          <w:tcPr>
            <w:tcW w:w="221" w:type="pct"/>
            <w:tcBorders>
              <w:top w:val="nil"/>
              <w:left w:val="single" w:sz="4" w:space="0" w:color="auto"/>
              <w:bottom w:val="single" w:sz="4" w:space="0" w:color="auto"/>
              <w:right w:val="single" w:sz="4" w:space="0" w:color="auto"/>
            </w:tcBorders>
            <w:shd w:val="clear" w:color="auto" w:fill="auto"/>
            <w:noWrap/>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100%</w:t>
            </w:r>
          </w:p>
        </w:tc>
        <w:tc>
          <w:tcPr>
            <w:tcW w:w="566"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520.598.067 </w:t>
            </w:r>
          </w:p>
        </w:tc>
        <w:tc>
          <w:tcPr>
            <w:tcW w:w="254" w:type="pct"/>
            <w:tcBorders>
              <w:top w:val="nil"/>
              <w:left w:val="nil"/>
              <w:bottom w:val="single" w:sz="4" w:space="0" w:color="auto"/>
              <w:right w:val="single" w:sz="4" w:space="0" w:color="auto"/>
            </w:tcBorders>
            <w:shd w:val="clear" w:color="auto" w:fill="auto"/>
            <w:noWrap/>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100,0%</w:t>
            </w:r>
          </w:p>
        </w:tc>
        <w:tc>
          <w:tcPr>
            <w:tcW w:w="568"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518.482.167 </w:t>
            </w:r>
          </w:p>
        </w:tc>
        <w:tc>
          <w:tcPr>
            <w:tcW w:w="2213" w:type="pct"/>
            <w:tcBorders>
              <w:top w:val="nil"/>
              <w:left w:val="single" w:sz="4" w:space="0" w:color="auto"/>
              <w:bottom w:val="single" w:sz="4" w:space="0" w:color="auto"/>
              <w:right w:val="single" w:sz="4" w:space="0" w:color="auto"/>
            </w:tcBorders>
            <w:shd w:val="clear" w:color="auto" w:fill="auto"/>
            <w:hideMark/>
          </w:tcPr>
          <w:p w:rsidR="002E0574" w:rsidRPr="00B3694F" w:rsidRDefault="0078439F" w:rsidP="007B005E">
            <w:pPr>
              <w:spacing w:after="0" w:line="240" w:lineRule="auto"/>
              <w:rPr>
                <w:rFonts w:ascii="Arial" w:hAnsi="Arial" w:cs="Arial"/>
                <w:sz w:val="16"/>
                <w:szCs w:val="16"/>
                <w:lang w:eastAsia="es-CO"/>
              </w:rPr>
            </w:pPr>
            <w:r>
              <w:rPr>
                <w:rFonts w:ascii="Arial" w:hAnsi="Arial" w:cs="Arial"/>
                <w:sz w:val="16"/>
                <w:szCs w:val="16"/>
                <w:lang w:eastAsia="es-CO"/>
              </w:rPr>
              <w:t>Del</w:t>
            </w:r>
            <w:r w:rsidRPr="00B3694F">
              <w:rPr>
                <w:rFonts w:ascii="Arial" w:hAnsi="Arial" w:cs="Arial"/>
                <w:sz w:val="16"/>
                <w:szCs w:val="16"/>
                <w:lang w:eastAsia="es-CO"/>
              </w:rPr>
              <w:t xml:space="preserve"> 1</w:t>
            </w:r>
            <w:r w:rsidR="002E0574" w:rsidRPr="00B3694F">
              <w:rPr>
                <w:rFonts w:ascii="Arial" w:hAnsi="Arial" w:cs="Arial"/>
                <w:sz w:val="16"/>
                <w:szCs w:val="16"/>
                <w:lang w:eastAsia="es-CO"/>
              </w:rPr>
              <w:t xml:space="preserve"> octubre </w:t>
            </w:r>
            <w:r w:rsidRPr="00B3694F">
              <w:rPr>
                <w:rFonts w:ascii="Arial" w:hAnsi="Arial" w:cs="Arial"/>
                <w:sz w:val="16"/>
                <w:szCs w:val="16"/>
                <w:lang w:eastAsia="es-CO"/>
              </w:rPr>
              <w:t>a 30</w:t>
            </w:r>
            <w:r w:rsidR="002E0574" w:rsidRPr="00B3694F">
              <w:rPr>
                <w:rFonts w:ascii="Arial" w:hAnsi="Arial" w:cs="Arial"/>
                <w:sz w:val="16"/>
                <w:szCs w:val="16"/>
                <w:lang w:eastAsia="es-CO"/>
              </w:rPr>
              <w:t xml:space="preserve"> de noviembre del año 2019 se recibieron 2.836 expedientes por parte de los inspectores de policía para su evaluación e inicio del cobro persuasivo, de conformidad con lo establecido en el Decreto 442 de 2018. De la cifra señalada fueron aprobados para efectuar la fase persuasiva 2.689 expedientes.</w:t>
            </w:r>
            <w:r w:rsidR="002E0574" w:rsidRPr="00B3694F">
              <w:rPr>
                <w:rFonts w:ascii="Arial" w:hAnsi="Arial" w:cs="Arial"/>
                <w:sz w:val="16"/>
                <w:szCs w:val="16"/>
                <w:lang w:eastAsia="es-CO"/>
              </w:rPr>
              <w:br/>
              <w:t>SMS 146.892</w:t>
            </w:r>
            <w:r w:rsidR="002E0574" w:rsidRPr="00B3694F">
              <w:rPr>
                <w:rFonts w:ascii="Arial" w:hAnsi="Arial" w:cs="Arial"/>
                <w:sz w:val="16"/>
                <w:szCs w:val="16"/>
                <w:lang w:eastAsia="es-CO"/>
              </w:rPr>
              <w:br/>
              <w:t>CARTAS DE COBRO 272,446</w:t>
            </w:r>
            <w:r w:rsidR="002E0574" w:rsidRPr="00B3694F">
              <w:rPr>
                <w:rFonts w:ascii="Arial" w:hAnsi="Arial" w:cs="Arial"/>
                <w:sz w:val="16"/>
                <w:szCs w:val="16"/>
                <w:lang w:eastAsia="es-CO"/>
              </w:rPr>
              <w:br/>
              <w:t>Luego de culminar las acciones de cobro persuasivo, se remitieron 2.997 procesos a la Secretaría Distrital de Hacienda para el inicio del cobro coactivo.</w:t>
            </w:r>
          </w:p>
        </w:tc>
      </w:tr>
      <w:tr w:rsidR="00D21665" w:rsidRPr="00F948EE" w:rsidTr="000445F8">
        <w:trPr>
          <w:trHeight w:val="5295"/>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lastRenderedPageBreak/>
              <w:t>7532</w:t>
            </w:r>
          </w:p>
        </w:tc>
        <w:tc>
          <w:tcPr>
            <w:tcW w:w="330" w:type="pct"/>
            <w:tcBorders>
              <w:top w:val="nil"/>
              <w:left w:val="nil"/>
              <w:bottom w:val="nil"/>
              <w:right w:val="nil"/>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p>
        </w:tc>
        <w:tc>
          <w:tcPr>
            <w:tcW w:w="189" w:type="pct"/>
            <w:tcBorders>
              <w:top w:val="nil"/>
              <w:left w:val="single" w:sz="4" w:space="0" w:color="auto"/>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3</w:t>
            </w:r>
          </w:p>
        </w:tc>
        <w:tc>
          <w:tcPr>
            <w:tcW w:w="472"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both"/>
              <w:rPr>
                <w:rFonts w:ascii="Arial" w:hAnsi="Arial" w:cs="Arial"/>
                <w:sz w:val="16"/>
                <w:szCs w:val="16"/>
                <w:lang w:eastAsia="es-CO"/>
              </w:rPr>
            </w:pPr>
            <w:r w:rsidRPr="00B3694F">
              <w:rPr>
                <w:rFonts w:ascii="Arial" w:hAnsi="Arial" w:cs="Arial"/>
                <w:sz w:val="16"/>
                <w:szCs w:val="16"/>
                <w:lang w:eastAsia="es-CO"/>
              </w:rPr>
              <w:t>Implementar 100 por ciento de las estrategias de cultura ciudadana para la prevención de conductas contrarias a la convivencia proyectadas</w:t>
            </w:r>
          </w:p>
        </w:tc>
        <w:tc>
          <w:tcPr>
            <w:tcW w:w="221" w:type="pct"/>
            <w:tcBorders>
              <w:top w:val="nil"/>
              <w:left w:val="single" w:sz="4" w:space="0" w:color="auto"/>
              <w:bottom w:val="single" w:sz="4" w:space="0" w:color="auto"/>
              <w:right w:val="single" w:sz="4" w:space="0" w:color="auto"/>
            </w:tcBorders>
            <w:shd w:val="clear" w:color="auto" w:fill="auto"/>
            <w:noWrap/>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100%</w:t>
            </w:r>
          </w:p>
        </w:tc>
        <w:tc>
          <w:tcPr>
            <w:tcW w:w="566"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1.698.881.728 </w:t>
            </w:r>
          </w:p>
        </w:tc>
        <w:tc>
          <w:tcPr>
            <w:tcW w:w="254" w:type="pct"/>
            <w:tcBorders>
              <w:top w:val="nil"/>
              <w:left w:val="nil"/>
              <w:bottom w:val="single" w:sz="4" w:space="0" w:color="auto"/>
              <w:right w:val="single" w:sz="4" w:space="0" w:color="auto"/>
            </w:tcBorders>
            <w:shd w:val="clear" w:color="auto" w:fill="auto"/>
            <w:noWrap/>
            <w:vAlign w:val="center"/>
            <w:hideMark/>
          </w:tcPr>
          <w:p w:rsidR="002E0574" w:rsidRPr="00B3694F" w:rsidRDefault="002E0574" w:rsidP="007B005E">
            <w:pPr>
              <w:spacing w:after="0" w:line="240" w:lineRule="auto"/>
              <w:jc w:val="center"/>
              <w:rPr>
                <w:rFonts w:ascii="Arial" w:hAnsi="Arial" w:cs="Arial"/>
                <w:color w:val="000000"/>
                <w:sz w:val="16"/>
                <w:szCs w:val="16"/>
                <w:lang w:eastAsia="es-CO"/>
              </w:rPr>
            </w:pPr>
            <w:r w:rsidRPr="00B3694F">
              <w:rPr>
                <w:rFonts w:ascii="Arial" w:hAnsi="Arial" w:cs="Arial"/>
                <w:color w:val="000000"/>
                <w:sz w:val="16"/>
                <w:szCs w:val="16"/>
                <w:lang w:eastAsia="es-CO"/>
              </w:rPr>
              <w:t>90,0%</w:t>
            </w:r>
          </w:p>
        </w:tc>
        <w:tc>
          <w:tcPr>
            <w:tcW w:w="568" w:type="pct"/>
            <w:tcBorders>
              <w:top w:val="nil"/>
              <w:left w:val="nil"/>
              <w:bottom w:val="single" w:sz="4" w:space="0" w:color="auto"/>
              <w:right w:val="single" w:sz="4" w:space="0" w:color="auto"/>
            </w:tcBorders>
            <w:shd w:val="clear" w:color="auto" w:fill="auto"/>
            <w:vAlign w:val="center"/>
            <w:hideMark/>
          </w:tcPr>
          <w:p w:rsidR="002E0574" w:rsidRPr="00B3694F" w:rsidRDefault="002E0574" w:rsidP="007B005E">
            <w:pPr>
              <w:spacing w:after="0" w:line="240" w:lineRule="auto"/>
              <w:jc w:val="right"/>
              <w:rPr>
                <w:rFonts w:ascii="Arial" w:hAnsi="Arial" w:cs="Arial"/>
                <w:sz w:val="16"/>
                <w:szCs w:val="16"/>
                <w:lang w:eastAsia="es-CO"/>
              </w:rPr>
            </w:pPr>
            <w:r w:rsidRPr="00B3694F">
              <w:rPr>
                <w:rFonts w:ascii="Arial" w:hAnsi="Arial" w:cs="Arial"/>
                <w:sz w:val="16"/>
                <w:szCs w:val="16"/>
                <w:lang w:eastAsia="es-CO"/>
              </w:rPr>
              <w:t xml:space="preserve">1.219.926.899 </w:t>
            </w:r>
          </w:p>
        </w:tc>
        <w:tc>
          <w:tcPr>
            <w:tcW w:w="2213" w:type="pct"/>
            <w:tcBorders>
              <w:top w:val="nil"/>
              <w:left w:val="single" w:sz="4" w:space="0" w:color="auto"/>
              <w:bottom w:val="single" w:sz="4" w:space="0" w:color="auto"/>
              <w:right w:val="single" w:sz="4" w:space="0" w:color="auto"/>
            </w:tcBorders>
            <w:shd w:val="clear" w:color="auto" w:fill="auto"/>
            <w:hideMark/>
          </w:tcPr>
          <w:p w:rsidR="002E0574" w:rsidRPr="00B3694F" w:rsidRDefault="002E0574" w:rsidP="00A1487D">
            <w:pPr>
              <w:spacing w:after="0" w:line="240" w:lineRule="auto"/>
              <w:rPr>
                <w:rFonts w:ascii="Arial" w:hAnsi="Arial" w:cs="Arial"/>
                <w:sz w:val="16"/>
                <w:szCs w:val="16"/>
                <w:lang w:eastAsia="es-CO"/>
              </w:rPr>
            </w:pPr>
            <w:r w:rsidRPr="00B3694F">
              <w:rPr>
                <w:rFonts w:ascii="Arial" w:hAnsi="Arial" w:cs="Arial"/>
                <w:sz w:val="16"/>
                <w:szCs w:val="16"/>
                <w:lang w:eastAsia="es-CO"/>
              </w:rPr>
              <w:t>La SDSCJ ha efectuado diferentes acciones encaminadas a prevenir la ocurrencia de comportamientos contrarios a la convivencia en la ciudad, las cuales se detallan a continuación:</w:t>
            </w:r>
            <w:r w:rsidR="006D183D">
              <w:rPr>
                <w:rFonts w:ascii="Arial" w:hAnsi="Arial" w:cs="Arial"/>
                <w:sz w:val="16"/>
                <w:szCs w:val="16"/>
                <w:lang w:eastAsia="es-CO"/>
              </w:rPr>
              <w:t xml:space="preserve"> </w:t>
            </w:r>
            <w:r w:rsidRPr="00B3694F">
              <w:rPr>
                <w:rFonts w:ascii="Arial" w:hAnsi="Arial" w:cs="Arial"/>
                <w:sz w:val="16"/>
                <w:szCs w:val="16"/>
                <w:lang w:eastAsia="es-CO"/>
              </w:rPr>
              <w:t>1) Pedagogía en colegios: En un trabajo articulado con la Secretaría de Educación Distrital, se lleva a cabo proceso de prevención de comportamientos contrarios a la convivencia con las direcciones locales de educación y sus respectivos colegios públicos, llegando a los orientadores, psicólogos, sociólogos y rectores como multiplicadores y voceros institucionales de los contenidos del Código Nacional de Policía y Convivencia - CNPC, para un total de 28 colegios distritales intervenidos, con acciones encaminadas a prevenir comportamientos contrarios a la convivencia y promover el respeto como herramienta para ser mejores ciudadanos. Durante el 1 de octubre al 30 de noviembre de 2019 se han beneficiado con estas acciones 4.815 adolescentes.</w:t>
            </w:r>
            <w:r>
              <w:rPr>
                <w:rFonts w:ascii="Arial" w:hAnsi="Arial" w:cs="Arial"/>
                <w:sz w:val="16"/>
                <w:szCs w:val="16"/>
                <w:lang w:eastAsia="es-CO"/>
              </w:rPr>
              <w:t xml:space="preserve">  </w:t>
            </w:r>
            <w:r w:rsidRPr="00B3694F">
              <w:rPr>
                <w:rFonts w:ascii="Arial" w:hAnsi="Arial" w:cs="Arial"/>
                <w:sz w:val="16"/>
                <w:szCs w:val="16"/>
                <w:lang w:eastAsia="es-CO"/>
              </w:rPr>
              <w:t>2) Pedagogía en otros espacios: La S</w:t>
            </w:r>
            <w:r w:rsidR="004D723D">
              <w:rPr>
                <w:rFonts w:ascii="Arial" w:hAnsi="Arial" w:cs="Arial"/>
                <w:sz w:val="16"/>
                <w:szCs w:val="16"/>
                <w:lang w:eastAsia="es-CO"/>
              </w:rPr>
              <w:t xml:space="preserve">ecretaría durante </w:t>
            </w:r>
            <w:r w:rsidRPr="00B3694F">
              <w:rPr>
                <w:rFonts w:ascii="Arial" w:hAnsi="Arial" w:cs="Arial"/>
                <w:sz w:val="16"/>
                <w:szCs w:val="16"/>
                <w:lang w:eastAsia="es-CO"/>
              </w:rPr>
              <w:t>el tercer trimestre incorporó al proceso de prevención de comportamientos contrarios a la convivencia, a la Secretaria de Integración Social, Centro social de agentes y patrulleros de la Policía Nacional y ciudanía de propiedades horizontal, para unificar criterios técnicos y contar con herramientas claras</w:t>
            </w:r>
            <w:r w:rsidR="00917169">
              <w:rPr>
                <w:rFonts w:ascii="Arial" w:hAnsi="Arial" w:cs="Arial"/>
                <w:sz w:val="16"/>
                <w:szCs w:val="16"/>
                <w:lang w:eastAsia="es-CO"/>
              </w:rPr>
              <w:t xml:space="preserve"> para</w:t>
            </w:r>
            <w:r w:rsidRPr="00B3694F">
              <w:rPr>
                <w:rFonts w:ascii="Arial" w:hAnsi="Arial" w:cs="Arial"/>
                <w:sz w:val="16"/>
                <w:szCs w:val="16"/>
                <w:lang w:eastAsia="es-CO"/>
              </w:rPr>
              <w:t xml:space="preserve"> generar en la ciudad de Bogotá una mayor comprensión del conocimiento de las norma</w:t>
            </w:r>
            <w:r>
              <w:rPr>
                <w:rFonts w:ascii="Arial" w:hAnsi="Arial" w:cs="Arial"/>
                <w:sz w:val="16"/>
                <w:szCs w:val="16"/>
                <w:lang w:eastAsia="es-CO"/>
              </w:rPr>
              <w:t>s de convivencia.   Durante el 1</w:t>
            </w:r>
            <w:r w:rsidRPr="00B3694F">
              <w:rPr>
                <w:rFonts w:ascii="Arial" w:hAnsi="Arial" w:cs="Arial"/>
                <w:sz w:val="16"/>
                <w:szCs w:val="16"/>
                <w:lang w:eastAsia="es-CO"/>
              </w:rPr>
              <w:t xml:space="preserve"> de octubre al 30 de noviembre de 2019, se beneficiaron 240 personas. 3) Herramientas lúdicas pedagógicas. Durante el segundo trimestre de 2019 la secretaria adquirió 30.000 cartillas (Ponte la 10) con las cuales se pretende posicionar al Código Nacional de Policía y Convivencia como una guía para vivir mejor, Durante este trimestre la Secretaría viene realizando entrega de estas cartillas, llegado así a más de 24.865 ciudadanos de la ciudad de Bogotá. 4) Me uno para vivir mejor. La campaña fue lanzada en el primer trimestre del año 2019, para continuar con esta campaña en los diferentes puntos de la ciudad de Bogotá, se continua durante los meses de octubre y noviembre entrega de volantes, los cual ha permitido a la fecha impactar un aproximado de 856.875 ciudadanos.</w:t>
            </w:r>
            <w:r w:rsidR="00A1487D">
              <w:rPr>
                <w:rFonts w:ascii="Arial" w:hAnsi="Arial" w:cs="Arial"/>
                <w:sz w:val="16"/>
                <w:szCs w:val="16"/>
                <w:lang w:eastAsia="es-CO"/>
              </w:rPr>
              <w:t xml:space="preserve"> </w:t>
            </w:r>
            <w:r w:rsidRPr="00890F03">
              <w:rPr>
                <w:rFonts w:ascii="Arial" w:hAnsi="Arial" w:cs="Arial"/>
                <w:sz w:val="14"/>
                <w:szCs w:val="14"/>
                <w:lang w:eastAsia="es-CO"/>
              </w:rPr>
              <w:t xml:space="preserve">5) LINEA  195. Con el fin de generar un mecanismo de comunicación entre el ciudadano y la entidad, la Secretaría de Seguridad puso a disposición agentes capacitados para que brindar a los ciudadanos información relacionada con el código de policía. </w:t>
            </w:r>
            <w:r w:rsidR="004D723D" w:rsidRPr="00890F03">
              <w:rPr>
                <w:rFonts w:ascii="Arial" w:hAnsi="Arial" w:cs="Arial"/>
                <w:sz w:val="14"/>
                <w:szCs w:val="14"/>
                <w:lang w:eastAsia="es-CO"/>
              </w:rPr>
              <w:t xml:space="preserve"> </w:t>
            </w:r>
            <w:r w:rsidRPr="00890F03">
              <w:rPr>
                <w:rFonts w:ascii="Arial" w:hAnsi="Arial" w:cs="Arial"/>
                <w:sz w:val="14"/>
                <w:szCs w:val="14"/>
                <w:lang w:eastAsia="es-CO"/>
              </w:rPr>
              <w:t>Durante el 1 de octubre al 31 de diciembre de 2019 se recibió un total de 2211 llamadas contestadas. 6) Para este periodo el proyecto 7532 implemento un kit de herramientas pedagógicas, el cual permitirá de manera didáctica promover la cultura ciudadana como mecanismo de prevención de comportamientos contrarios a la convivencia en los diferentes espacios donde se realiza las actividades.</w:t>
            </w:r>
            <w:r w:rsidRPr="00B3694F">
              <w:rPr>
                <w:rFonts w:ascii="Arial" w:hAnsi="Arial" w:cs="Arial"/>
                <w:sz w:val="16"/>
                <w:szCs w:val="16"/>
                <w:lang w:eastAsia="es-CO"/>
              </w:rPr>
              <w:t xml:space="preserve"> </w:t>
            </w:r>
          </w:p>
        </w:tc>
      </w:tr>
    </w:tbl>
    <w:p w:rsidR="002E0574" w:rsidRDefault="002E0574" w:rsidP="002E0574">
      <w:pPr>
        <w:rPr>
          <w:rFonts w:ascii="Arial" w:hAnsi="Arial" w:cs="Arial"/>
          <w:sz w:val="16"/>
          <w:szCs w:val="16"/>
        </w:rPr>
      </w:pPr>
    </w:p>
    <w:p w:rsidR="00890F03" w:rsidRPr="00F948EE" w:rsidRDefault="00890F03" w:rsidP="002E0574">
      <w:pPr>
        <w:rPr>
          <w:rFonts w:ascii="Arial" w:hAnsi="Arial" w:cs="Arial"/>
          <w:sz w:val="16"/>
          <w:szCs w:val="16"/>
        </w:rPr>
      </w:pPr>
    </w:p>
    <w:p w:rsidR="00E7058F" w:rsidRDefault="00E7058F" w:rsidP="00E644CE">
      <w:pPr>
        <w:pStyle w:val="Prrafodelista"/>
        <w:numPr>
          <w:ilvl w:val="0"/>
          <w:numId w:val="11"/>
        </w:numPr>
        <w:spacing w:after="120"/>
        <w:ind w:left="284" w:right="-1029" w:hanging="284"/>
        <w:rPr>
          <w:rFonts w:ascii="Arial" w:eastAsia="Arial" w:hAnsi="Arial" w:cs="Arial"/>
          <w:b/>
          <w:sz w:val="22"/>
          <w:szCs w:val="22"/>
        </w:rPr>
        <w:sectPr w:rsidR="00E7058F" w:rsidSect="00D21665">
          <w:pgSz w:w="15840" w:h="12240" w:orient="landscape"/>
          <w:pgMar w:top="1701" w:right="2268" w:bottom="1701" w:left="1701" w:header="709" w:footer="709" w:gutter="0"/>
          <w:cols w:space="720"/>
          <w:formProt w:val="0"/>
          <w:docGrid w:linePitch="360"/>
        </w:sectPr>
      </w:pPr>
    </w:p>
    <w:p w:rsidR="00096B73" w:rsidRPr="00D75E66" w:rsidRDefault="00890F03" w:rsidP="00E644CE">
      <w:pPr>
        <w:pStyle w:val="Prrafodelista"/>
        <w:numPr>
          <w:ilvl w:val="0"/>
          <w:numId w:val="11"/>
        </w:numPr>
        <w:spacing w:after="120"/>
        <w:ind w:left="284" w:right="-1029" w:hanging="284"/>
        <w:rPr>
          <w:rFonts w:ascii="Arial" w:eastAsia="Arial" w:hAnsi="Arial" w:cs="Arial"/>
          <w:b/>
          <w:sz w:val="22"/>
          <w:szCs w:val="22"/>
        </w:rPr>
      </w:pPr>
      <w:r>
        <w:rPr>
          <w:rFonts w:ascii="Arial" w:eastAsia="Arial" w:hAnsi="Arial" w:cs="Arial"/>
          <w:b/>
          <w:sz w:val="22"/>
          <w:szCs w:val="22"/>
        </w:rPr>
        <w:lastRenderedPageBreak/>
        <w:t>Res</w:t>
      </w:r>
      <w:r w:rsidR="00096B73" w:rsidRPr="00D75E66">
        <w:rPr>
          <w:rFonts w:ascii="Arial" w:eastAsia="Arial" w:hAnsi="Arial" w:cs="Arial"/>
          <w:b/>
          <w:sz w:val="22"/>
          <w:szCs w:val="22"/>
        </w:rPr>
        <w:t>ultados en la transformación de la problemática:</w:t>
      </w:r>
    </w:p>
    <w:p w:rsidR="00C54480" w:rsidRPr="00D75E66" w:rsidRDefault="00C54480" w:rsidP="00284741">
      <w:pPr>
        <w:pStyle w:val="Sangradetextonormal"/>
        <w:spacing w:after="0"/>
        <w:ind w:left="0"/>
        <w:jc w:val="both"/>
        <w:rPr>
          <w:rFonts w:ascii="Arial" w:hAnsi="Arial" w:cs="Arial"/>
          <w:sz w:val="22"/>
          <w:szCs w:val="22"/>
        </w:rPr>
      </w:pPr>
    </w:p>
    <w:p w:rsidR="00710538" w:rsidRPr="00D75E66" w:rsidRDefault="00710538" w:rsidP="00710538">
      <w:pPr>
        <w:shd w:val="clear" w:color="auto" w:fill="FFFFFF"/>
        <w:spacing w:after="0" w:line="240" w:lineRule="auto"/>
        <w:jc w:val="both"/>
        <w:rPr>
          <w:rFonts w:ascii="Arial" w:eastAsia="Liberation Serif" w:hAnsi="Arial" w:cs="Arial"/>
          <w:sz w:val="22"/>
          <w:szCs w:val="22"/>
        </w:rPr>
      </w:pPr>
      <w:r w:rsidRPr="00D75E66">
        <w:rPr>
          <w:rFonts w:ascii="Arial" w:eastAsia="Liberation Serif" w:hAnsi="Arial" w:cs="Arial"/>
          <w:sz w:val="22"/>
          <w:szCs w:val="22"/>
        </w:rPr>
        <w:t xml:space="preserve">Bogotá requiere cambios culturales orientados a la protección de la vida, el reconocimiento y respeto de la diversidad cultural, el cuidado y valoración de los bienes colectivos y el cumplimiento de normas y reglas de juego que promuevan la convivencia pacífica. </w:t>
      </w:r>
    </w:p>
    <w:p w:rsidR="00710538" w:rsidRPr="00D75E66" w:rsidRDefault="00710538" w:rsidP="00710538">
      <w:pPr>
        <w:autoSpaceDE w:val="0"/>
        <w:autoSpaceDN w:val="0"/>
        <w:adjustRightInd w:val="0"/>
        <w:spacing w:after="0" w:line="240" w:lineRule="auto"/>
        <w:jc w:val="both"/>
        <w:rPr>
          <w:rFonts w:ascii="Arial" w:hAnsi="Arial" w:cs="Arial"/>
          <w:color w:val="000000"/>
          <w:sz w:val="22"/>
          <w:szCs w:val="22"/>
        </w:rPr>
      </w:pPr>
    </w:p>
    <w:p w:rsidR="00710538" w:rsidRPr="00D75E66" w:rsidRDefault="00710538" w:rsidP="00710538">
      <w:pPr>
        <w:autoSpaceDE w:val="0"/>
        <w:autoSpaceDN w:val="0"/>
        <w:adjustRightInd w:val="0"/>
        <w:spacing w:after="0" w:line="240" w:lineRule="auto"/>
        <w:jc w:val="both"/>
        <w:rPr>
          <w:rFonts w:ascii="Arial" w:hAnsi="Arial" w:cs="Arial"/>
          <w:sz w:val="22"/>
          <w:szCs w:val="22"/>
        </w:rPr>
      </w:pPr>
      <w:r w:rsidRPr="00D75E66">
        <w:rPr>
          <w:rFonts w:ascii="Arial" w:eastAsia="Liberation Serif" w:hAnsi="Arial" w:cs="Arial"/>
          <w:sz w:val="22"/>
          <w:szCs w:val="22"/>
        </w:rPr>
        <w:t>En ese sentido, el compromiso con la cultura ciudadana es tal que para alcanzar el objetivo del Plan de Desarrollo a saber, la felicidad para todos, se formuló el Pilar III</w:t>
      </w:r>
      <w:r w:rsidRPr="00D75E66">
        <w:rPr>
          <w:rFonts w:ascii="Arial" w:hAnsi="Arial" w:cs="Arial"/>
          <w:color w:val="000000"/>
          <w:sz w:val="22"/>
          <w:szCs w:val="22"/>
        </w:rPr>
        <w:t xml:space="preserve">: </w:t>
      </w:r>
      <w:r w:rsidRPr="00D75E66">
        <w:rPr>
          <w:rFonts w:ascii="Arial" w:hAnsi="Arial" w:cs="Arial"/>
          <w:i/>
          <w:color w:val="000000"/>
          <w:sz w:val="22"/>
          <w:szCs w:val="22"/>
        </w:rPr>
        <w:t xml:space="preserve">Construcción de Comunidad y Cultura Ciudadana </w:t>
      </w:r>
      <w:r w:rsidRPr="00D75E66">
        <w:rPr>
          <w:rFonts w:ascii="Arial" w:eastAsia="Liberation Serif" w:hAnsi="Arial" w:cs="Arial"/>
          <w:sz w:val="22"/>
          <w:szCs w:val="22"/>
        </w:rPr>
        <w:t xml:space="preserve">que pretende </w:t>
      </w:r>
      <w:r w:rsidRPr="00D75E66">
        <w:rPr>
          <w:rFonts w:ascii="Arial" w:hAnsi="Arial" w:cs="Arial"/>
          <w:sz w:val="22"/>
          <w:szCs w:val="22"/>
        </w:rPr>
        <w:t>aumentar el cumplimiento de la ley y la cooperación ciudadana, consolidando espacios seguros y confiables para la interacción de la comunidad, fortaleciendo la justicia, reduciendo la criminalidad y mejorando la percepción de seguridad, con el fin de transformar a Bogotá en una ciudad líder en la promoción de cultura ciudadana, donde los ciudadanos disfrutan una gran oferta de espacios culturales, recreativos y deportivos donde los vecinos se conocen, conviven solidariamente y participan en actividades que contribuyan a mejorar su entorno, para incrementar así el sentido de pertenencia a Bogotá y preparar la ciudad para la paz.</w:t>
      </w:r>
    </w:p>
    <w:p w:rsidR="00710538" w:rsidRPr="00D75E66" w:rsidRDefault="00710538" w:rsidP="00710538">
      <w:pPr>
        <w:autoSpaceDE w:val="0"/>
        <w:autoSpaceDN w:val="0"/>
        <w:adjustRightInd w:val="0"/>
        <w:spacing w:after="0" w:line="240" w:lineRule="auto"/>
        <w:jc w:val="both"/>
        <w:rPr>
          <w:rFonts w:ascii="Arial" w:hAnsi="Arial" w:cs="Arial"/>
          <w:sz w:val="22"/>
          <w:szCs w:val="22"/>
        </w:rPr>
      </w:pPr>
    </w:p>
    <w:p w:rsidR="00710538" w:rsidRPr="00D75E66" w:rsidRDefault="00710538" w:rsidP="00710538">
      <w:pPr>
        <w:autoSpaceDE w:val="0"/>
        <w:autoSpaceDN w:val="0"/>
        <w:adjustRightInd w:val="0"/>
        <w:spacing w:after="0" w:line="240" w:lineRule="auto"/>
        <w:jc w:val="both"/>
        <w:rPr>
          <w:rFonts w:ascii="Arial" w:hAnsi="Arial" w:cs="Arial"/>
          <w:bCs/>
          <w:color w:val="000000"/>
          <w:sz w:val="22"/>
          <w:szCs w:val="22"/>
          <w:lang w:eastAsia="en-US"/>
        </w:rPr>
      </w:pPr>
      <w:r w:rsidRPr="00D75E66">
        <w:rPr>
          <w:rFonts w:ascii="Arial" w:hAnsi="Arial" w:cs="Arial"/>
          <w:color w:val="000000"/>
          <w:sz w:val="22"/>
          <w:szCs w:val="22"/>
        </w:rPr>
        <w:t>Las acciones que se adelantan en el marco del Pilar III</w:t>
      </w:r>
      <w:r w:rsidRPr="00D75E66">
        <w:rPr>
          <w:rFonts w:ascii="Arial" w:hAnsi="Arial" w:cs="Arial"/>
          <w:i/>
          <w:color w:val="000000"/>
          <w:sz w:val="22"/>
          <w:szCs w:val="22"/>
        </w:rPr>
        <w:t xml:space="preserve"> </w:t>
      </w:r>
      <w:r w:rsidRPr="00D75E66">
        <w:rPr>
          <w:rFonts w:ascii="Arial" w:hAnsi="Arial" w:cs="Arial"/>
          <w:color w:val="000000"/>
          <w:sz w:val="22"/>
          <w:szCs w:val="22"/>
        </w:rPr>
        <w:t xml:space="preserve">se han orientado entonces a incrementar la percepción de seguridad encausado en acciones para combatir la delincuencia, la violencia y la inseguridad; además, del fortalecimiento de acciones de corresponsabilidad ciudadana; en generar </w:t>
      </w:r>
      <w:r w:rsidRPr="00D75E66">
        <w:rPr>
          <w:rFonts w:ascii="Arial" w:hAnsi="Arial" w:cs="Arial"/>
          <w:sz w:val="22"/>
          <w:szCs w:val="22"/>
        </w:rPr>
        <w:t>acciones que produzcan transformación de factores culturales que facilitan las violencias de género y el ejercicio de los derechos por parte de las mujeres;</w:t>
      </w:r>
      <w:r w:rsidRPr="00D75E66">
        <w:rPr>
          <w:rFonts w:ascii="Arial" w:hAnsi="Arial" w:cs="Arial"/>
          <w:color w:val="000000"/>
          <w:sz w:val="22"/>
          <w:szCs w:val="22"/>
        </w:rPr>
        <w:t xml:space="preserve"> en el fortalecimiento del Sistema Distrital de Justicia que logre generar confianza en los ciudadanos; en los procesos de sensibilización en derechos humanos y p</w:t>
      </w:r>
      <w:r w:rsidRPr="00D75E66">
        <w:rPr>
          <w:rFonts w:ascii="Arial" w:hAnsi="Arial" w:cs="Arial"/>
          <w:sz w:val="22"/>
          <w:szCs w:val="22"/>
        </w:rPr>
        <w:t>az y la reconciliación y estrategias de atención diferenciada; en la implementación del Sistema Distrital de Atención y Reparación Integral a las Víctimas; en el fortalecimiento de acciones de corresponsabilidad ciudadana y promoción de la convivencia en las aulas de clase, las instituciones educativas y los entornos escolares a fin de empoderarlos y consolidar el sistema de la educación en el Distrito Capital. Así mismo, en orientar y a</w:t>
      </w:r>
      <w:r w:rsidRPr="00D75E66">
        <w:rPr>
          <w:rFonts w:ascii="Arial" w:hAnsi="Arial" w:cs="Arial"/>
          <w:bCs/>
          <w:color w:val="000000"/>
          <w:sz w:val="22"/>
          <w:szCs w:val="22"/>
          <w:lang w:eastAsia="en-US"/>
        </w:rPr>
        <w:t>rticular las actividades artísticas, culturales, recreativas y deportivas hacia las transformaciones y cambios culturales en territorios y poblaciones priorizadas para construir comunidad y tejido social en torno a la valoración y respeto de la diferencia, la apropiación del espacio público como un lugar propicio para el encuentro entre extraños y la convivencia en la diferencia.</w:t>
      </w:r>
    </w:p>
    <w:p w:rsidR="00710538" w:rsidRDefault="00710538" w:rsidP="00710538">
      <w:pPr>
        <w:autoSpaceDE w:val="0"/>
        <w:autoSpaceDN w:val="0"/>
        <w:adjustRightInd w:val="0"/>
        <w:spacing w:after="0" w:line="240" w:lineRule="auto"/>
        <w:jc w:val="both"/>
        <w:rPr>
          <w:rFonts w:cs="Calibri"/>
          <w:sz w:val="22"/>
          <w:szCs w:val="22"/>
        </w:rPr>
      </w:pPr>
    </w:p>
    <w:p w:rsidR="00D75E66" w:rsidRPr="001D14C5" w:rsidRDefault="00D75E66" w:rsidP="001D14C5">
      <w:pPr>
        <w:autoSpaceDE w:val="0"/>
        <w:autoSpaceDN w:val="0"/>
        <w:adjustRightInd w:val="0"/>
        <w:spacing w:after="0" w:line="240" w:lineRule="auto"/>
        <w:jc w:val="both"/>
        <w:rPr>
          <w:rFonts w:ascii="Arial" w:hAnsi="Arial" w:cs="Arial"/>
          <w:b/>
          <w:sz w:val="22"/>
          <w:szCs w:val="22"/>
        </w:rPr>
      </w:pPr>
      <w:r w:rsidRPr="001D14C5">
        <w:rPr>
          <w:rFonts w:ascii="Arial" w:hAnsi="Arial" w:cs="Arial"/>
          <w:b/>
          <w:sz w:val="22"/>
          <w:szCs w:val="22"/>
        </w:rPr>
        <w:t>Seguridad y Convivencia para Todos</w:t>
      </w:r>
    </w:p>
    <w:p w:rsidR="001C613A" w:rsidRDefault="001C613A" w:rsidP="001D14C5">
      <w:pPr>
        <w:spacing w:after="0" w:line="240" w:lineRule="auto"/>
        <w:jc w:val="both"/>
        <w:rPr>
          <w:rFonts w:ascii="Arial" w:hAnsi="Arial" w:cs="Arial"/>
          <w:sz w:val="22"/>
          <w:szCs w:val="22"/>
        </w:rPr>
      </w:pPr>
    </w:p>
    <w:p w:rsidR="00710538" w:rsidRPr="00D75E66" w:rsidRDefault="00710538" w:rsidP="001D14C5">
      <w:pPr>
        <w:spacing w:after="0" w:line="240" w:lineRule="auto"/>
        <w:jc w:val="both"/>
        <w:rPr>
          <w:rFonts w:ascii="Arial" w:hAnsi="Arial" w:cs="Arial"/>
          <w:i/>
          <w:sz w:val="22"/>
          <w:szCs w:val="22"/>
        </w:rPr>
      </w:pPr>
      <w:r w:rsidRPr="00D75E66">
        <w:rPr>
          <w:rFonts w:ascii="Arial" w:hAnsi="Arial" w:cs="Arial"/>
          <w:sz w:val="22"/>
          <w:szCs w:val="22"/>
        </w:rPr>
        <w:t xml:space="preserve">Este programa plantea herramientas para construir lazos solidarios en la comunidad, mejorar el entorno, la seguridad y la convivencia y así incrementar el sentido de pertenencia a Bogotá: </w:t>
      </w:r>
      <w:r w:rsidRPr="00D75E66">
        <w:rPr>
          <w:rFonts w:ascii="Arial" w:hAnsi="Arial" w:cs="Arial"/>
          <w:i/>
          <w:sz w:val="22"/>
          <w:szCs w:val="22"/>
        </w:rPr>
        <w:t>la prevención y el control del delito</w:t>
      </w:r>
      <w:r w:rsidRPr="00D75E66">
        <w:rPr>
          <w:rFonts w:ascii="Arial" w:hAnsi="Arial" w:cs="Arial"/>
          <w:sz w:val="22"/>
          <w:szCs w:val="22"/>
        </w:rPr>
        <w:t xml:space="preserve">, </w:t>
      </w:r>
      <w:r w:rsidRPr="00D75E66">
        <w:rPr>
          <w:rFonts w:ascii="Arial" w:hAnsi="Arial" w:cs="Arial"/>
          <w:i/>
          <w:sz w:val="22"/>
          <w:szCs w:val="22"/>
        </w:rPr>
        <w:t>el fortalecimiento de las capacidades operativas de las autoridades involucradas en la gestión de la seguridad en la ciudad</w:t>
      </w:r>
      <w:r w:rsidRPr="00D75E66">
        <w:rPr>
          <w:rFonts w:ascii="Arial" w:hAnsi="Arial" w:cs="Arial"/>
          <w:sz w:val="22"/>
          <w:szCs w:val="22"/>
        </w:rPr>
        <w:t xml:space="preserve">, </w:t>
      </w:r>
      <w:r w:rsidRPr="00D75E66">
        <w:rPr>
          <w:rFonts w:ascii="Arial" w:hAnsi="Arial" w:cs="Arial"/>
          <w:i/>
          <w:sz w:val="22"/>
          <w:szCs w:val="22"/>
        </w:rPr>
        <w:t>el mejoramiento de la confianza de los bogotanos en las autoridades y la promoción de la corresponsabilidad de los ciudadanos en la gestión de la seguridad y la convivencia.</w:t>
      </w:r>
    </w:p>
    <w:p w:rsidR="00710538" w:rsidRPr="00D75E66" w:rsidRDefault="00710538" w:rsidP="00710538">
      <w:pPr>
        <w:spacing w:line="240" w:lineRule="auto"/>
        <w:jc w:val="both"/>
        <w:rPr>
          <w:rFonts w:ascii="Arial" w:hAnsi="Arial" w:cs="Arial"/>
          <w:sz w:val="22"/>
          <w:szCs w:val="22"/>
        </w:rPr>
      </w:pPr>
      <w:r w:rsidRPr="00D75E66">
        <w:rPr>
          <w:rFonts w:ascii="Arial" w:hAnsi="Arial" w:cs="Arial"/>
          <w:sz w:val="22"/>
          <w:szCs w:val="22"/>
        </w:rPr>
        <w:t xml:space="preserve">Durante los dos últimos años el Sistema de Información Estadístico, Delincuencial, Contravencional y Operativo de la Policía Nacional (SIEDCO) ha experimentado 3 cambios importantes. A saber, SIEDCO comienza a ser alimentado con información de la Fiscalía General de la Nación (FGN) desde 2016 y el cargue de información tiene un mayor impacto </w:t>
      </w:r>
      <w:r w:rsidRPr="00D75E66">
        <w:rPr>
          <w:rFonts w:ascii="Arial" w:hAnsi="Arial" w:cs="Arial"/>
          <w:sz w:val="22"/>
          <w:szCs w:val="22"/>
        </w:rPr>
        <w:lastRenderedPageBreak/>
        <w:t>sobre los registros del año 2017; se hace la implementación del aplicativo de denuncia virtual “A denunciar” desde el 1ro de agosto de 2017; y se realizaron mejoras para hacer más eficiente el intercambio de información entre la FGN y Policía.</w:t>
      </w:r>
    </w:p>
    <w:p w:rsidR="00710538" w:rsidRPr="00D75E66" w:rsidRDefault="00710538" w:rsidP="00710538">
      <w:pPr>
        <w:spacing w:line="240" w:lineRule="auto"/>
        <w:jc w:val="both"/>
        <w:rPr>
          <w:rFonts w:ascii="Arial" w:hAnsi="Arial" w:cs="Arial"/>
          <w:sz w:val="22"/>
          <w:szCs w:val="22"/>
        </w:rPr>
      </w:pPr>
      <w:r w:rsidRPr="00D75E66">
        <w:rPr>
          <w:rFonts w:ascii="Arial" w:hAnsi="Arial" w:cs="Arial"/>
          <w:sz w:val="22"/>
          <w:szCs w:val="22"/>
        </w:rPr>
        <w:t xml:space="preserve">Es decir, que el sistema –SIEDCO- que permite hacer un seguimiento a los principales indicadores del plan de desarrollo como los son los delitos contra la vida (lesiones personales) y los delitos contra el patrimonio (hurto a personas, hurto a residencia y hurto a celulares) registra una variación anual en el número de registros que no permitiría hacer una comparación anual del comportamiento de dichos delitos. </w:t>
      </w:r>
    </w:p>
    <w:p w:rsidR="00710538" w:rsidRPr="00D75E66" w:rsidRDefault="00710538" w:rsidP="00710538">
      <w:pPr>
        <w:spacing w:line="240" w:lineRule="auto"/>
        <w:jc w:val="both"/>
        <w:rPr>
          <w:rFonts w:ascii="Arial" w:hAnsi="Arial" w:cs="Arial"/>
          <w:sz w:val="22"/>
          <w:szCs w:val="22"/>
        </w:rPr>
      </w:pPr>
      <w:r w:rsidRPr="00D75E66">
        <w:rPr>
          <w:rFonts w:ascii="Arial" w:hAnsi="Arial" w:cs="Arial"/>
          <w:sz w:val="22"/>
          <w:szCs w:val="22"/>
        </w:rPr>
        <w:t>A continuación, se describe el seguimiento a los principales indicadores del plan de desarrollo; con la salvedad de que, si bien se reportan los resultados para el periodo 2018 a diciembre de 2019, estos no describen una evolución precisa de su comportamiento por las razones previamente expuestas.</w:t>
      </w:r>
    </w:p>
    <w:p w:rsidR="00710538" w:rsidRPr="00D75E66" w:rsidRDefault="00710538" w:rsidP="00710538">
      <w:pPr>
        <w:spacing w:line="240" w:lineRule="auto"/>
        <w:jc w:val="both"/>
        <w:rPr>
          <w:rFonts w:ascii="Arial" w:hAnsi="Arial" w:cs="Arial"/>
          <w:sz w:val="22"/>
          <w:szCs w:val="22"/>
        </w:rPr>
      </w:pPr>
      <w:r w:rsidRPr="00D75E66">
        <w:rPr>
          <w:rFonts w:ascii="Arial" w:hAnsi="Arial" w:cs="Arial"/>
          <w:sz w:val="22"/>
          <w:szCs w:val="22"/>
        </w:rPr>
        <w:t>Se presenta a continuación el avance en las metas de resultado propuestas en el Plan de Desarrollo 2016 - 2020:</w:t>
      </w:r>
    </w:p>
    <w:p w:rsidR="00710538" w:rsidRPr="00D75E66" w:rsidRDefault="00710538" w:rsidP="00710538">
      <w:pPr>
        <w:spacing w:line="240" w:lineRule="auto"/>
        <w:jc w:val="both"/>
        <w:rPr>
          <w:rFonts w:ascii="Arial" w:hAnsi="Arial" w:cs="Arial"/>
          <w:b/>
          <w:sz w:val="22"/>
          <w:szCs w:val="22"/>
        </w:rPr>
      </w:pPr>
      <w:r w:rsidRPr="00D75E66">
        <w:rPr>
          <w:rFonts w:ascii="Arial" w:hAnsi="Arial" w:cs="Arial"/>
          <w:b/>
          <w:sz w:val="22"/>
          <w:szCs w:val="22"/>
        </w:rPr>
        <w:t xml:space="preserve">Delitos contra la vida </w:t>
      </w:r>
    </w:p>
    <w:p w:rsidR="00710538" w:rsidRPr="00D75E66" w:rsidRDefault="00710538" w:rsidP="00710538">
      <w:pPr>
        <w:numPr>
          <w:ilvl w:val="0"/>
          <w:numId w:val="16"/>
        </w:numPr>
        <w:spacing w:after="0" w:line="240" w:lineRule="auto"/>
        <w:rPr>
          <w:rFonts w:ascii="Arial" w:hAnsi="Arial" w:cs="Arial"/>
          <w:bCs/>
          <w:i/>
          <w:sz w:val="22"/>
          <w:szCs w:val="22"/>
        </w:rPr>
      </w:pPr>
      <w:r w:rsidRPr="00D75E66">
        <w:rPr>
          <w:rFonts w:ascii="Arial" w:hAnsi="Arial" w:cs="Arial"/>
          <w:b/>
          <w:sz w:val="22"/>
          <w:szCs w:val="22"/>
        </w:rPr>
        <w:t>Homicidios</w:t>
      </w:r>
      <w:r w:rsidRPr="00D75E66">
        <w:rPr>
          <w:rFonts w:ascii="Arial" w:hAnsi="Arial" w:cs="Arial"/>
          <w:b/>
          <w:sz w:val="22"/>
          <w:szCs w:val="22"/>
        </w:rPr>
        <w:br/>
        <w:t xml:space="preserve">Meta: </w:t>
      </w:r>
      <w:r w:rsidRPr="00D75E66">
        <w:rPr>
          <w:rFonts w:ascii="Arial" w:hAnsi="Arial" w:cs="Arial"/>
          <w:sz w:val="22"/>
          <w:szCs w:val="22"/>
        </w:rPr>
        <w:t>Reducir a 12 la tasa de homicidios por cada 100 mil habitantes</w:t>
      </w:r>
      <w:r w:rsidRPr="00D75E66">
        <w:rPr>
          <w:rFonts w:ascii="Arial" w:hAnsi="Arial" w:cs="Arial"/>
          <w:b/>
          <w:sz w:val="22"/>
          <w:szCs w:val="22"/>
        </w:rPr>
        <w:br/>
        <w:t xml:space="preserve">Línea base (2015): </w:t>
      </w:r>
      <w:r w:rsidRPr="00D75E66">
        <w:rPr>
          <w:rFonts w:ascii="Arial" w:hAnsi="Arial" w:cs="Arial"/>
          <w:sz w:val="22"/>
          <w:szCs w:val="22"/>
        </w:rPr>
        <w:t>17,4 homicidios por cada 100 mil habitantes</w:t>
      </w:r>
      <w:r w:rsidRPr="00D75E66">
        <w:rPr>
          <w:rFonts w:ascii="Arial" w:hAnsi="Arial" w:cs="Arial"/>
          <w:bCs/>
          <w:i/>
          <w:sz w:val="22"/>
          <w:szCs w:val="22"/>
        </w:rPr>
        <w:br/>
      </w:r>
    </w:p>
    <w:p w:rsidR="00710538" w:rsidRPr="00D75E66" w:rsidRDefault="00710538" w:rsidP="00710538">
      <w:pPr>
        <w:spacing w:line="240" w:lineRule="auto"/>
        <w:jc w:val="both"/>
        <w:rPr>
          <w:rFonts w:ascii="Arial" w:hAnsi="Arial" w:cs="Arial"/>
          <w:sz w:val="22"/>
          <w:szCs w:val="22"/>
        </w:rPr>
      </w:pPr>
      <w:r w:rsidRPr="00D75E66">
        <w:rPr>
          <w:rFonts w:ascii="Arial" w:hAnsi="Arial" w:cs="Arial"/>
          <w:sz w:val="22"/>
          <w:szCs w:val="22"/>
        </w:rPr>
        <w:t>El año anterior la tasa de homicidios llegó a 13.1 teniendo una línea base de 17.4 en 2015. Esta es una tasa que no se veía en Bogotá desde 1973. Durante el 2019, mantuvo una cantidad de homicidios similar al 2018. Al comparar las tasas de homicidio de 2019 frente a 2018, se observa que Bogotá mantuvo de 13.1 homicidios por 100.000 habitantes; este resultado es muy cercano a la meta planteada en el Plan Distrital de Desarrollo.</w:t>
      </w:r>
    </w:p>
    <w:p w:rsidR="00710538" w:rsidRPr="00D75E66" w:rsidRDefault="00A21398" w:rsidP="00A21398">
      <w:pPr>
        <w:pStyle w:val="Prrafodelista"/>
        <w:rPr>
          <w:rFonts w:ascii="Arial" w:hAnsi="Arial" w:cs="Arial"/>
          <w:sz w:val="22"/>
          <w:szCs w:val="22"/>
        </w:rPr>
      </w:pPr>
      <w:r>
        <w:rPr>
          <w:rFonts w:ascii="Arial" w:hAnsi="Arial" w:cs="Arial"/>
          <w:b/>
          <w:sz w:val="22"/>
          <w:szCs w:val="22"/>
        </w:rPr>
        <w:t xml:space="preserve">                   </w:t>
      </w:r>
      <w:r w:rsidR="00710538" w:rsidRPr="00D75E66">
        <w:rPr>
          <w:rFonts w:ascii="Arial" w:hAnsi="Arial" w:cs="Arial"/>
          <w:sz w:val="22"/>
          <w:szCs w:val="22"/>
        </w:rPr>
        <w:t>Comparativo mensual 2018-2019 – Homicidio</w:t>
      </w:r>
    </w:p>
    <w:p w:rsidR="00710538" w:rsidRPr="0076123B" w:rsidRDefault="00710538" w:rsidP="00710538">
      <w:pPr>
        <w:pStyle w:val="Prrafodelista"/>
        <w:rPr>
          <w:noProof/>
          <w:sz w:val="22"/>
          <w:szCs w:val="22"/>
          <w:lang w:val="es-CO" w:eastAsia="es-CO"/>
        </w:rPr>
      </w:pPr>
      <w:r w:rsidRPr="0076123B">
        <w:rPr>
          <w:noProof/>
          <w:sz w:val="22"/>
          <w:szCs w:val="22"/>
          <w:lang w:val="es-CO" w:eastAsia="es-CO"/>
        </w:rPr>
        <w:drawing>
          <wp:inline distT="0" distB="0" distL="0" distR="0">
            <wp:extent cx="5114925" cy="22669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4925" cy="2266950"/>
                    </a:xfrm>
                    <a:prstGeom prst="rect">
                      <a:avLst/>
                    </a:prstGeom>
                    <a:noFill/>
                    <a:ln>
                      <a:noFill/>
                    </a:ln>
                  </pic:spPr>
                </pic:pic>
              </a:graphicData>
            </a:graphic>
          </wp:inline>
        </w:drawing>
      </w:r>
    </w:p>
    <w:p w:rsidR="00710538" w:rsidRPr="00A21398" w:rsidRDefault="00710538" w:rsidP="00710538">
      <w:pPr>
        <w:spacing w:after="0" w:line="240" w:lineRule="auto"/>
        <w:ind w:left="360" w:right="-1"/>
        <w:jc w:val="both"/>
        <w:rPr>
          <w:rFonts w:ascii="Arial" w:hAnsi="Arial" w:cs="Arial"/>
          <w:sz w:val="16"/>
          <w:szCs w:val="16"/>
        </w:rPr>
      </w:pPr>
      <w:r w:rsidRPr="00A21398">
        <w:rPr>
          <w:rFonts w:ascii="Arial" w:hAnsi="Arial" w:cs="Arial"/>
          <w:b/>
          <w:sz w:val="16"/>
          <w:szCs w:val="16"/>
        </w:rPr>
        <w:t>Fuente:</w:t>
      </w:r>
      <w:r w:rsidRPr="00A21398">
        <w:rPr>
          <w:rFonts w:ascii="Arial" w:hAnsi="Arial" w:cs="Arial"/>
          <w:sz w:val="16"/>
          <w:szCs w:val="16"/>
        </w:rPr>
        <w:t xml:space="preserve"> Cálculos propios con información del Instituto de Medicina Legal y Ciencias Forenses. Información extraída el día 22/01/2020 a las 17:00 horas. Se debe aclarar que hay 31 casos para los que no se tienen información completa (tiempo y modo). Elaborado por la Oficina de Análisis de Información y Estudios Estratégicos. Secretaría Distrital de Seguridad, Convivencia y Justicia. Información sujeta a cambios.</w:t>
      </w:r>
    </w:p>
    <w:p w:rsidR="00710538" w:rsidRPr="00A21398" w:rsidRDefault="00710538" w:rsidP="00710538">
      <w:pPr>
        <w:pStyle w:val="Prrafodelista"/>
        <w:numPr>
          <w:ilvl w:val="0"/>
          <w:numId w:val="15"/>
        </w:numPr>
        <w:suppressAutoHyphens/>
        <w:autoSpaceDN w:val="0"/>
        <w:contextualSpacing w:val="0"/>
        <w:rPr>
          <w:rFonts w:ascii="Arial" w:hAnsi="Arial" w:cs="Arial"/>
          <w:bCs/>
          <w:sz w:val="22"/>
          <w:szCs w:val="22"/>
        </w:rPr>
      </w:pPr>
      <w:r w:rsidRPr="00A21398">
        <w:rPr>
          <w:rFonts w:ascii="Arial" w:hAnsi="Arial" w:cs="Arial"/>
          <w:b/>
          <w:sz w:val="22"/>
          <w:szCs w:val="22"/>
        </w:rPr>
        <w:lastRenderedPageBreak/>
        <w:t>Lesiones personales</w:t>
      </w:r>
      <w:r w:rsidRPr="00A21398">
        <w:rPr>
          <w:rFonts w:ascii="Arial" w:hAnsi="Arial" w:cs="Arial"/>
          <w:b/>
          <w:sz w:val="22"/>
          <w:szCs w:val="22"/>
        </w:rPr>
        <w:br/>
        <w:t>Meta:</w:t>
      </w:r>
      <w:r w:rsidRPr="00A21398">
        <w:rPr>
          <w:rFonts w:ascii="Arial" w:hAnsi="Arial" w:cs="Arial"/>
          <w:b/>
          <w:i/>
          <w:sz w:val="22"/>
          <w:szCs w:val="22"/>
          <w:lang w:val="es-CO"/>
        </w:rPr>
        <w:t xml:space="preserve"> </w:t>
      </w:r>
      <w:r w:rsidRPr="00A21398">
        <w:rPr>
          <w:rFonts w:ascii="Arial" w:hAnsi="Arial" w:cs="Arial"/>
          <w:bCs/>
          <w:sz w:val="22"/>
          <w:szCs w:val="22"/>
        </w:rPr>
        <w:t>Reducir la tasa de lesiones personales a 142,86 por 100 mil habitantes</w:t>
      </w:r>
      <w:r w:rsidRPr="00A21398">
        <w:rPr>
          <w:rFonts w:ascii="Arial" w:hAnsi="Arial" w:cs="Arial"/>
          <w:bCs/>
          <w:i/>
          <w:sz w:val="22"/>
          <w:szCs w:val="22"/>
        </w:rPr>
        <w:br/>
      </w:r>
      <w:r w:rsidRPr="00A21398">
        <w:rPr>
          <w:rFonts w:ascii="Arial" w:hAnsi="Arial" w:cs="Arial"/>
          <w:b/>
          <w:bCs/>
          <w:sz w:val="22"/>
          <w:szCs w:val="22"/>
        </w:rPr>
        <w:t xml:space="preserve">Línea base (2015): </w:t>
      </w:r>
      <w:r w:rsidRPr="00A21398">
        <w:rPr>
          <w:rFonts w:ascii="Arial" w:hAnsi="Arial" w:cs="Arial"/>
          <w:bCs/>
          <w:sz w:val="22"/>
          <w:szCs w:val="22"/>
        </w:rPr>
        <w:t xml:space="preserve">169.2 por 100 mil habitantes. </w:t>
      </w:r>
      <w:r w:rsidRPr="00A21398">
        <w:rPr>
          <w:rFonts w:ascii="Arial" w:hAnsi="Arial" w:cs="Arial"/>
          <w:bCs/>
          <w:sz w:val="22"/>
          <w:szCs w:val="22"/>
        </w:rPr>
        <w:br/>
      </w:r>
      <w:r w:rsidRPr="00A21398">
        <w:rPr>
          <w:rFonts w:ascii="Arial" w:hAnsi="Arial" w:cs="Arial"/>
          <w:b/>
          <w:bCs/>
          <w:color w:val="000000"/>
          <w:sz w:val="22"/>
          <w:szCs w:val="22"/>
        </w:rPr>
        <w:t>Resultado 2019:</w:t>
      </w:r>
    </w:p>
    <w:p w:rsidR="00710538" w:rsidRPr="00A21398" w:rsidRDefault="00710538" w:rsidP="00710538">
      <w:pPr>
        <w:pStyle w:val="Prrafodelista"/>
        <w:rPr>
          <w:rFonts w:ascii="Arial" w:hAnsi="Arial" w:cs="Arial"/>
          <w:bCs/>
          <w:sz w:val="22"/>
          <w:szCs w:val="22"/>
        </w:rPr>
      </w:pPr>
    </w:p>
    <w:p w:rsidR="00710538" w:rsidRPr="00A21398" w:rsidRDefault="00710538" w:rsidP="00710538">
      <w:pPr>
        <w:spacing w:after="0" w:line="240" w:lineRule="auto"/>
        <w:jc w:val="both"/>
        <w:rPr>
          <w:rFonts w:ascii="Arial" w:hAnsi="Arial" w:cs="Arial"/>
          <w:sz w:val="22"/>
          <w:szCs w:val="22"/>
        </w:rPr>
      </w:pPr>
      <w:r w:rsidRPr="00A21398">
        <w:rPr>
          <w:rFonts w:ascii="Arial" w:hAnsi="Arial" w:cs="Arial"/>
          <w:sz w:val="22"/>
          <w:szCs w:val="22"/>
        </w:rPr>
        <w:t xml:space="preserve">En cuanto a lesiones personales, el año anterior la tasa llegó a 272, teniendo una línea base de 169.2 en el 2015. Adicionalmente, en el 2019 se presentó una reducción de 5205 eventos (19.1%) respecto al 2018. La tasa de lesiones personales se ha reducido de 314.3 en 2018 a 272 lesiones por 100.000 habitantes en 2018. Esta disminución se dio consistentemente en la mayoría de meses de 2019. </w:t>
      </w:r>
    </w:p>
    <w:p w:rsidR="00710538" w:rsidRPr="0006123C" w:rsidRDefault="00710538" w:rsidP="00710538">
      <w:pPr>
        <w:spacing w:after="0" w:line="240" w:lineRule="auto"/>
        <w:jc w:val="both"/>
        <w:rPr>
          <w:rFonts w:cs="Calibri"/>
          <w:sz w:val="24"/>
          <w:szCs w:val="24"/>
          <w:highlight w:val="lightGray"/>
          <w:lang w:val="x-none"/>
        </w:rPr>
      </w:pPr>
    </w:p>
    <w:p w:rsidR="00710538" w:rsidRPr="00A21398" w:rsidRDefault="00A21398" w:rsidP="00A21398">
      <w:pPr>
        <w:spacing w:after="0" w:line="240" w:lineRule="auto"/>
        <w:rPr>
          <w:rFonts w:ascii="Arial" w:hAnsi="Arial" w:cs="Arial"/>
          <w:sz w:val="22"/>
          <w:szCs w:val="22"/>
        </w:rPr>
      </w:pPr>
      <w:r>
        <w:rPr>
          <w:rFonts w:ascii="Arial" w:hAnsi="Arial" w:cs="Arial"/>
          <w:b/>
          <w:sz w:val="22"/>
          <w:szCs w:val="22"/>
        </w:rPr>
        <w:t xml:space="preserve">                        </w:t>
      </w:r>
      <w:r w:rsidR="00710538" w:rsidRPr="00A21398">
        <w:rPr>
          <w:rFonts w:ascii="Arial" w:hAnsi="Arial" w:cs="Arial"/>
          <w:sz w:val="22"/>
          <w:szCs w:val="22"/>
        </w:rPr>
        <w:t>Comparativo mensual 2018-2019 - lesiones personales</w:t>
      </w:r>
    </w:p>
    <w:p w:rsidR="00710538" w:rsidRPr="0006123C" w:rsidRDefault="00710538" w:rsidP="00710538">
      <w:pPr>
        <w:spacing w:after="0" w:line="240" w:lineRule="auto"/>
        <w:jc w:val="center"/>
        <w:rPr>
          <w:rFonts w:cs="Calibri"/>
          <w:sz w:val="24"/>
          <w:szCs w:val="24"/>
          <w:highlight w:val="lightGray"/>
        </w:rPr>
      </w:pPr>
      <w:r w:rsidRPr="00AD0438">
        <w:rPr>
          <w:noProof/>
          <w:lang w:val="es-CO" w:eastAsia="es-CO"/>
        </w:rPr>
        <w:drawing>
          <wp:inline distT="0" distB="0" distL="0" distR="0">
            <wp:extent cx="5610225" cy="22669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2266950"/>
                    </a:xfrm>
                    <a:prstGeom prst="rect">
                      <a:avLst/>
                    </a:prstGeom>
                    <a:noFill/>
                    <a:ln>
                      <a:noFill/>
                    </a:ln>
                  </pic:spPr>
                </pic:pic>
              </a:graphicData>
            </a:graphic>
          </wp:inline>
        </w:drawing>
      </w:r>
    </w:p>
    <w:p w:rsidR="00710538" w:rsidRDefault="00710538" w:rsidP="00710538">
      <w:pPr>
        <w:spacing w:after="0" w:line="240" w:lineRule="auto"/>
        <w:ind w:left="142" w:right="-1"/>
        <w:jc w:val="both"/>
        <w:rPr>
          <w:rFonts w:cs="Calibri"/>
          <w:b/>
          <w:sz w:val="16"/>
          <w:szCs w:val="16"/>
        </w:rPr>
      </w:pPr>
    </w:p>
    <w:p w:rsidR="00710538" w:rsidRPr="005229F2" w:rsidRDefault="00710538" w:rsidP="00710538">
      <w:pPr>
        <w:spacing w:after="0" w:line="240" w:lineRule="auto"/>
        <w:ind w:left="142" w:right="-1"/>
        <w:rPr>
          <w:rFonts w:ascii="Arial" w:hAnsi="Arial" w:cs="Arial"/>
          <w:sz w:val="16"/>
          <w:szCs w:val="16"/>
        </w:rPr>
      </w:pPr>
      <w:r w:rsidRPr="003C5B92">
        <w:rPr>
          <w:rFonts w:ascii="Arial" w:hAnsi="Arial" w:cs="Arial"/>
          <w:sz w:val="16"/>
          <w:szCs w:val="16"/>
        </w:rPr>
        <w:t xml:space="preserve">Fuente: </w:t>
      </w:r>
      <w:r w:rsidRPr="005C1C89">
        <w:rPr>
          <w:rFonts w:ascii="Arial" w:hAnsi="Arial" w:cs="Arial"/>
          <w:sz w:val="16"/>
          <w:szCs w:val="16"/>
        </w:rPr>
        <w:t xml:space="preserve">Cálculos propios con información de SIEDCO de la DIJIN - POLICÍA NACIONAL. Información extraída el día </w:t>
      </w:r>
      <w:r>
        <w:rPr>
          <w:rFonts w:cs="Calibri"/>
          <w:sz w:val="16"/>
          <w:szCs w:val="16"/>
        </w:rPr>
        <w:t>22</w:t>
      </w:r>
      <w:r w:rsidRPr="00B23B70">
        <w:rPr>
          <w:rFonts w:cs="Calibri"/>
          <w:sz w:val="16"/>
          <w:szCs w:val="16"/>
        </w:rPr>
        <w:t>/</w:t>
      </w:r>
      <w:r>
        <w:rPr>
          <w:rFonts w:cs="Calibri"/>
          <w:sz w:val="16"/>
          <w:szCs w:val="16"/>
        </w:rPr>
        <w:t>01/2020</w:t>
      </w:r>
      <w:r w:rsidRPr="00B23B70">
        <w:rPr>
          <w:rFonts w:cs="Calibri"/>
          <w:sz w:val="16"/>
          <w:szCs w:val="16"/>
        </w:rPr>
        <w:t xml:space="preserve"> </w:t>
      </w:r>
      <w:r w:rsidRPr="005C1C89">
        <w:rPr>
          <w:rFonts w:ascii="Arial" w:hAnsi="Arial" w:cs="Arial"/>
          <w:sz w:val="16"/>
          <w:szCs w:val="16"/>
        </w:rPr>
        <w:t>a las 1</w:t>
      </w:r>
      <w:r>
        <w:rPr>
          <w:rFonts w:ascii="Arial" w:hAnsi="Arial" w:cs="Arial"/>
          <w:sz w:val="16"/>
          <w:szCs w:val="16"/>
        </w:rPr>
        <w:t>2</w:t>
      </w:r>
      <w:r w:rsidRPr="005C1C89">
        <w:rPr>
          <w:rFonts w:ascii="Arial" w:hAnsi="Arial" w:cs="Arial"/>
          <w:sz w:val="16"/>
          <w:szCs w:val="16"/>
        </w:rPr>
        <w:t>:00 horas Elaborado por la Oficina de Análisis de Información y Estudios Estratégicos. Secretaría Distrital de Seguridad, Convivencia y Justicia. Información sujeta a cambios.</w:t>
      </w:r>
    </w:p>
    <w:p w:rsidR="00710538" w:rsidRPr="0006123C" w:rsidRDefault="00710538" w:rsidP="00710538">
      <w:pPr>
        <w:spacing w:after="0" w:line="240" w:lineRule="auto"/>
        <w:ind w:left="142" w:right="-1"/>
        <w:rPr>
          <w:rFonts w:cs="Calibri"/>
          <w:sz w:val="16"/>
          <w:szCs w:val="16"/>
          <w:highlight w:val="lightGray"/>
        </w:rPr>
      </w:pPr>
    </w:p>
    <w:p w:rsidR="00710538" w:rsidRPr="0006123C" w:rsidRDefault="00710538" w:rsidP="00710538">
      <w:pPr>
        <w:spacing w:after="0" w:line="240" w:lineRule="auto"/>
        <w:ind w:left="142" w:right="-1"/>
        <w:jc w:val="center"/>
        <w:rPr>
          <w:rFonts w:cs="Calibri"/>
          <w:sz w:val="16"/>
          <w:szCs w:val="16"/>
        </w:rPr>
      </w:pPr>
    </w:p>
    <w:p w:rsidR="00710538" w:rsidRPr="00A4212D" w:rsidRDefault="00710538" w:rsidP="00710538">
      <w:pPr>
        <w:numPr>
          <w:ilvl w:val="0"/>
          <w:numId w:val="15"/>
        </w:numPr>
        <w:spacing w:after="0" w:line="240" w:lineRule="auto"/>
        <w:ind w:left="426" w:right="-1"/>
        <w:rPr>
          <w:rFonts w:ascii="Arial" w:hAnsi="Arial" w:cs="Arial"/>
          <w:sz w:val="22"/>
          <w:szCs w:val="22"/>
        </w:rPr>
      </w:pPr>
      <w:r w:rsidRPr="00A4212D">
        <w:rPr>
          <w:rFonts w:ascii="Arial" w:hAnsi="Arial" w:cs="Arial"/>
          <w:b/>
          <w:sz w:val="22"/>
          <w:szCs w:val="22"/>
        </w:rPr>
        <w:t>Riñas</w:t>
      </w:r>
      <w:r w:rsidRPr="00A4212D">
        <w:rPr>
          <w:rFonts w:ascii="Arial" w:hAnsi="Arial" w:cs="Arial"/>
          <w:b/>
          <w:sz w:val="22"/>
          <w:szCs w:val="22"/>
        </w:rPr>
        <w:br/>
        <w:t>Meta:</w:t>
      </w:r>
      <w:r w:rsidRPr="00A4212D">
        <w:rPr>
          <w:rFonts w:ascii="Arial" w:hAnsi="Arial" w:cs="Arial"/>
          <w:sz w:val="22"/>
          <w:szCs w:val="22"/>
        </w:rPr>
        <w:t xml:space="preserve"> Disminuir a 5.826,3 la tasa de riñas por cien mil habitantes</w:t>
      </w:r>
      <w:r w:rsidRPr="00A4212D">
        <w:rPr>
          <w:rFonts w:ascii="Arial" w:hAnsi="Arial" w:cs="Arial"/>
          <w:sz w:val="22"/>
          <w:szCs w:val="22"/>
        </w:rPr>
        <w:br/>
      </w:r>
      <w:r w:rsidRPr="00A4212D">
        <w:rPr>
          <w:rFonts w:ascii="Arial" w:hAnsi="Arial" w:cs="Arial"/>
          <w:b/>
          <w:sz w:val="22"/>
          <w:szCs w:val="22"/>
        </w:rPr>
        <w:t>Línea base (2015):</w:t>
      </w:r>
      <w:r w:rsidRPr="00A4212D">
        <w:rPr>
          <w:rFonts w:ascii="Arial" w:hAnsi="Arial" w:cs="Arial"/>
          <w:sz w:val="22"/>
          <w:szCs w:val="22"/>
        </w:rPr>
        <w:t xml:space="preserve"> 6.474 riñas por 100 mil habitantes</w:t>
      </w:r>
      <w:r w:rsidRPr="00A4212D">
        <w:rPr>
          <w:rFonts w:ascii="Arial" w:hAnsi="Arial" w:cs="Arial"/>
          <w:sz w:val="22"/>
          <w:szCs w:val="22"/>
        </w:rPr>
        <w:br/>
      </w:r>
    </w:p>
    <w:p w:rsidR="00710538" w:rsidRPr="00A4212D" w:rsidRDefault="00710538" w:rsidP="00710538">
      <w:pPr>
        <w:spacing w:after="0" w:line="240" w:lineRule="auto"/>
        <w:ind w:left="426" w:right="-1"/>
        <w:rPr>
          <w:rFonts w:ascii="Arial" w:hAnsi="Arial" w:cs="Arial"/>
          <w:sz w:val="22"/>
          <w:szCs w:val="22"/>
        </w:rPr>
      </w:pPr>
      <w:r w:rsidRPr="00A4212D">
        <w:rPr>
          <w:rFonts w:ascii="Arial" w:hAnsi="Arial" w:cs="Arial"/>
          <w:sz w:val="22"/>
          <w:szCs w:val="22"/>
        </w:rPr>
        <w:t xml:space="preserve"> </w:t>
      </w:r>
      <w:r w:rsidRPr="00A4212D">
        <w:rPr>
          <w:rFonts w:ascii="Arial" w:hAnsi="Arial" w:cs="Arial"/>
          <w:sz w:val="22"/>
          <w:szCs w:val="22"/>
        </w:rPr>
        <w:br/>
        <w:t>Mientras que en el 2018 la tasa fue de 5941.4 riñas por 100 mil habitantes, en el 2019 esta cifra disminuyó hasta 5391.1 (un 3.7%). El total de las riñas disminuyeron un 6.1% en el 2019 comparado con el 2018.</w:t>
      </w:r>
    </w:p>
    <w:p w:rsidR="00710538" w:rsidRDefault="00710538" w:rsidP="00710538">
      <w:pPr>
        <w:spacing w:after="0" w:line="240" w:lineRule="auto"/>
        <w:ind w:left="426" w:right="-1"/>
        <w:rPr>
          <w:rFonts w:cs="Calibri"/>
        </w:rPr>
      </w:pPr>
    </w:p>
    <w:p w:rsidR="00710538" w:rsidRPr="0050115A" w:rsidRDefault="00710538" w:rsidP="00710538">
      <w:pPr>
        <w:spacing w:after="0" w:line="240" w:lineRule="auto"/>
        <w:jc w:val="center"/>
        <w:rPr>
          <w:rFonts w:ascii="Arial" w:hAnsi="Arial" w:cs="Arial"/>
          <w:sz w:val="22"/>
          <w:szCs w:val="22"/>
        </w:rPr>
      </w:pPr>
      <w:r>
        <w:rPr>
          <w:rFonts w:cs="Calibri"/>
          <w:b/>
        </w:rPr>
        <w:br w:type="page"/>
      </w:r>
      <w:r w:rsidRPr="007A4948">
        <w:rPr>
          <w:rFonts w:cs="Calibri"/>
        </w:rPr>
        <w:lastRenderedPageBreak/>
        <w:t xml:space="preserve"> </w:t>
      </w:r>
      <w:r w:rsidRPr="0050115A">
        <w:rPr>
          <w:rFonts w:ascii="Arial" w:hAnsi="Arial" w:cs="Arial"/>
          <w:sz w:val="22"/>
          <w:szCs w:val="22"/>
        </w:rPr>
        <w:t>Comparativo mensual 2018-2019 - riñas</w:t>
      </w:r>
    </w:p>
    <w:p w:rsidR="00710538" w:rsidRPr="0006123C" w:rsidRDefault="00710538" w:rsidP="00710538">
      <w:pPr>
        <w:spacing w:after="0" w:line="240" w:lineRule="auto"/>
        <w:ind w:left="426" w:right="-1"/>
        <w:jc w:val="center"/>
        <w:rPr>
          <w:rFonts w:cs="Calibri"/>
          <w:highlight w:val="lightGray"/>
        </w:rPr>
      </w:pPr>
      <w:r w:rsidRPr="00817B88">
        <w:rPr>
          <w:noProof/>
          <w:lang w:val="es-CO" w:eastAsia="es-CO"/>
        </w:rPr>
        <w:drawing>
          <wp:inline distT="0" distB="0" distL="0" distR="0">
            <wp:extent cx="5610225" cy="20574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2057400"/>
                    </a:xfrm>
                    <a:prstGeom prst="rect">
                      <a:avLst/>
                    </a:prstGeom>
                    <a:noFill/>
                    <a:ln>
                      <a:noFill/>
                    </a:ln>
                  </pic:spPr>
                </pic:pic>
              </a:graphicData>
            </a:graphic>
          </wp:inline>
        </w:drawing>
      </w:r>
    </w:p>
    <w:p w:rsidR="00710538" w:rsidRPr="00A4212D" w:rsidRDefault="00710538" w:rsidP="00710538">
      <w:pPr>
        <w:spacing w:after="0" w:line="240" w:lineRule="auto"/>
        <w:ind w:left="426" w:right="-1"/>
        <w:rPr>
          <w:rFonts w:ascii="Arial" w:hAnsi="Arial" w:cs="Arial"/>
          <w:noProof/>
          <w:sz w:val="16"/>
          <w:szCs w:val="16"/>
          <w:lang w:eastAsia="es-ES"/>
        </w:rPr>
      </w:pPr>
      <w:r w:rsidRPr="0006123C">
        <w:rPr>
          <w:rFonts w:cs="Calibri"/>
          <w:noProof/>
          <w:lang w:eastAsia="es-ES"/>
        </w:rPr>
        <w:br/>
      </w:r>
      <w:r w:rsidRPr="00A4212D">
        <w:rPr>
          <w:rFonts w:ascii="Arial" w:hAnsi="Arial" w:cs="Arial"/>
          <w:b/>
          <w:noProof/>
          <w:sz w:val="16"/>
          <w:szCs w:val="16"/>
          <w:lang w:eastAsia="es-ES"/>
        </w:rPr>
        <w:t>Fuente:</w:t>
      </w:r>
      <w:r w:rsidRPr="00A4212D">
        <w:rPr>
          <w:rFonts w:ascii="Arial" w:hAnsi="Arial" w:cs="Arial"/>
          <w:noProof/>
          <w:sz w:val="16"/>
          <w:szCs w:val="16"/>
          <w:lang w:eastAsia="es-ES"/>
        </w:rPr>
        <w:t xml:space="preserve"> Cálculos propios con información de Sistema de Información PROCAD de NUSE. Información extraída el día </w:t>
      </w:r>
      <w:r w:rsidRPr="00A4212D">
        <w:rPr>
          <w:rFonts w:ascii="Arial" w:hAnsi="Arial" w:cs="Arial"/>
          <w:sz w:val="16"/>
          <w:szCs w:val="16"/>
        </w:rPr>
        <w:t xml:space="preserve">22/01/2020 </w:t>
      </w:r>
      <w:r w:rsidRPr="00A4212D">
        <w:rPr>
          <w:rFonts w:ascii="Arial" w:hAnsi="Arial" w:cs="Arial"/>
          <w:noProof/>
          <w:sz w:val="16"/>
          <w:szCs w:val="16"/>
          <w:lang w:eastAsia="es-ES"/>
        </w:rPr>
        <w:t>a las 12:00 horas. No se cuenta con la informacion del mes de diciembre debido al cambio en los sistemas de informacion. Elaborado por la Oficina de Análisis de Información y Estudios Estratégicos. Secretaría Distrital de Seguridad, Convivencia y Justicia. Información sujeta a cambios.</w:t>
      </w:r>
    </w:p>
    <w:p w:rsidR="00710538" w:rsidRPr="0006123C" w:rsidRDefault="00710538" w:rsidP="00710538">
      <w:pPr>
        <w:spacing w:after="0" w:line="240" w:lineRule="auto"/>
        <w:jc w:val="both"/>
        <w:rPr>
          <w:rFonts w:cs="Calibri"/>
          <w:highlight w:val="lightGray"/>
        </w:rPr>
      </w:pPr>
    </w:p>
    <w:p w:rsidR="00710538" w:rsidRPr="00E94065" w:rsidRDefault="00710538" w:rsidP="00710538">
      <w:pPr>
        <w:spacing w:line="240" w:lineRule="auto"/>
        <w:jc w:val="both"/>
        <w:rPr>
          <w:rFonts w:ascii="Arial" w:hAnsi="Arial" w:cs="Arial"/>
          <w:b/>
          <w:sz w:val="22"/>
          <w:szCs w:val="22"/>
        </w:rPr>
      </w:pPr>
      <w:r w:rsidRPr="00E94065">
        <w:rPr>
          <w:rFonts w:ascii="Arial" w:hAnsi="Arial" w:cs="Arial"/>
          <w:b/>
          <w:sz w:val="22"/>
          <w:szCs w:val="22"/>
        </w:rPr>
        <w:t>Delitos contra el patrimonio</w:t>
      </w:r>
    </w:p>
    <w:p w:rsidR="00710538" w:rsidRPr="00E94065" w:rsidRDefault="00710538" w:rsidP="00710538">
      <w:pPr>
        <w:numPr>
          <w:ilvl w:val="0"/>
          <w:numId w:val="16"/>
        </w:numPr>
        <w:spacing w:after="0" w:line="240" w:lineRule="auto"/>
        <w:rPr>
          <w:rFonts w:ascii="Arial" w:hAnsi="Arial" w:cs="Arial"/>
          <w:sz w:val="22"/>
          <w:szCs w:val="22"/>
        </w:rPr>
      </w:pPr>
      <w:r w:rsidRPr="00E94065">
        <w:rPr>
          <w:rFonts w:ascii="Arial" w:hAnsi="Arial" w:cs="Arial"/>
          <w:b/>
          <w:sz w:val="22"/>
          <w:szCs w:val="22"/>
        </w:rPr>
        <w:t>Hurto de automotores</w:t>
      </w:r>
      <w:r w:rsidRPr="00E94065">
        <w:rPr>
          <w:rFonts w:ascii="Arial" w:hAnsi="Arial" w:cs="Arial"/>
          <w:b/>
          <w:sz w:val="22"/>
          <w:szCs w:val="22"/>
        </w:rPr>
        <w:br/>
        <w:t>Meta:</w:t>
      </w:r>
      <w:r w:rsidRPr="00E94065">
        <w:rPr>
          <w:rFonts w:ascii="Arial" w:hAnsi="Arial" w:cs="Arial"/>
          <w:sz w:val="22"/>
          <w:szCs w:val="22"/>
        </w:rPr>
        <w:t xml:space="preserve"> Reducir a 15% el nivel de victimización por robo de vehículos (Encuesta CCB)</w:t>
      </w:r>
      <w:r w:rsidRPr="00E94065">
        <w:rPr>
          <w:rFonts w:ascii="Arial" w:hAnsi="Arial" w:cs="Arial"/>
          <w:sz w:val="22"/>
          <w:szCs w:val="22"/>
        </w:rPr>
        <w:br/>
      </w:r>
      <w:r w:rsidRPr="00E94065">
        <w:rPr>
          <w:rFonts w:ascii="Arial" w:hAnsi="Arial" w:cs="Arial"/>
          <w:b/>
          <w:sz w:val="22"/>
          <w:szCs w:val="22"/>
        </w:rPr>
        <w:t>Línea base (2015):</w:t>
      </w:r>
      <w:r w:rsidRPr="00E94065">
        <w:rPr>
          <w:rFonts w:ascii="Arial" w:hAnsi="Arial" w:cs="Arial"/>
          <w:sz w:val="22"/>
          <w:szCs w:val="22"/>
        </w:rPr>
        <w:t xml:space="preserve"> 21% de las personas que son víctimas - les han robado el vehículo</w:t>
      </w:r>
      <w:r w:rsidRPr="00E94065">
        <w:rPr>
          <w:rFonts w:ascii="Arial" w:hAnsi="Arial" w:cs="Arial"/>
          <w:sz w:val="22"/>
          <w:szCs w:val="22"/>
        </w:rPr>
        <w:br/>
      </w:r>
    </w:p>
    <w:p w:rsidR="00710538" w:rsidRPr="00E94065" w:rsidRDefault="00710538" w:rsidP="00A22999">
      <w:pPr>
        <w:spacing w:after="0" w:line="240" w:lineRule="auto"/>
        <w:jc w:val="both"/>
        <w:rPr>
          <w:rFonts w:ascii="Arial" w:hAnsi="Arial" w:cs="Arial"/>
          <w:sz w:val="22"/>
          <w:szCs w:val="22"/>
        </w:rPr>
      </w:pPr>
      <w:r w:rsidRPr="00E94065">
        <w:rPr>
          <w:rFonts w:ascii="Arial" w:hAnsi="Arial" w:cs="Arial"/>
          <w:sz w:val="22"/>
          <w:szCs w:val="22"/>
        </w:rPr>
        <w:t>Durante el 2019 se observó una reducción de 134 eventos (3.4%) respecto al año 2018. Las localidades de Usaquén y Chapinero son las localidades donde más disminuyó el número de eventos, presentando una reducción de 58 (20.4%), y 11 (36.7%) respectivamente.</w:t>
      </w:r>
    </w:p>
    <w:p w:rsidR="00544701" w:rsidRDefault="00544701" w:rsidP="00710538">
      <w:pPr>
        <w:spacing w:after="0" w:line="240" w:lineRule="auto"/>
        <w:jc w:val="center"/>
        <w:rPr>
          <w:rFonts w:ascii="Arial" w:hAnsi="Arial" w:cs="Arial"/>
          <w:sz w:val="22"/>
          <w:szCs w:val="22"/>
        </w:rPr>
      </w:pPr>
    </w:p>
    <w:p w:rsidR="00710538" w:rsidRPr="0050115A" w:rsidRDefault="00710538" w:rsidP="00710538">
      <w:pPr>
        <w:spacing w:after="0" w:line="240" w:lineRule="auto"/>
        <w:jc w:val="center"/>
        <w:rPr>
          <w:rFonts w:ascii="Arial" w:hAnsi="Arial" w:cs="Arial"/>
          <w:sz w:val="22"/>
          <w:szCs w:val="22"/>
        </w:rPr>
      </w:pPr>
      <w:r w:rsidRPr="0050115A">
        <w:rPr>
          <w:rFonts w:ascii="Arial" w:hAnsi="Arial" w:cs="Arial"/>
          <w:sz w:val="22"/>
          <w:szCs w:val="22"/>
        </w:rPr>
        <w:t>Comparativo mensual 2018-2019 – Hurto de automotores</w:t>
      </w:r>
    </w:p>
    <w:p w:rsidR="00710538" w:rsidRDefault="00710538" w:rsidP="00710538">
      <w:pPr>
        <w:spacing w:after="0" w:line="240" w:lineRule="auto"/>
        <w:jc w:val="center"/>
        <w:rPr>
          <w:rFonts w:cs="Calibri"/>
          <w:noProof/>
          <w:sz w:val="24"/>
          <w:szCs w:val="24"/>
        </w:rPr>
      </w:pPr>
      <w:r w:rsidRPr="00AD0438">
        <w:rPr>
          <w:noProof/>
          <w:lang w:val="es-CO" w:eastAsia="es-CO"/>
        </w:rPr>
        <w:drawing>
          <wp:inline distT="0" distB="0" distL="0" distR="0">
            <wp:extent cx="4457700" cy="17145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7700" cy="1714500"/>
                    </a:xfrm>
                    <a:prstGeom prst="rect">
                      <a:avLst/>
                    </a:prstGeom>
                    <a:noFill/>
                    <a:ln>
                      <a:noFill/>
                    </a:ln>
                  </pic:spPr>
                </pic:pic>
              </a:graphicData>
            </a:graphic>
          </wp:inline>
        </w:drawing>
      </w:r>
    </w:p>
    <w:p w:rsidR="00710538" w:rsidRPr="00E94065" w:rsidRDefault="00710538" w:rsidP="00710538">
      <w:pPr>
        <w:spacing w:after="0" w:line="240" w:lineRule="auto"/>
        <w:ind w:left="142" w:right="-1"/>
        <w:rPr>
          <w:rFonts w:ascii="Arial" w:hAnsi="Arial" w:cs="Arial"/>
          <w:sz w:val="16"/>
          <w:szCs w:val="16"/>
        </w:rPr>
      </w:pPr>
      <w:r w:rsidRPr="00E94065">
        <w:rPr>
          <w:rFonts w:ascii="Arial" w:hAnsi="Arial" w:cs="Arial"/>
          <w:b/>
          <w:sz w:val="16"/>
          <w:szCs w:val="16"/>
        </w:rPr>
        <w:t>Fuente:</w:t>
      </w:r>
      <w:r w:rsidRPr="00E94065">
        <w:rPr>
          <w:rFonts w:ascii="Arial" w:hAnsi="Arial" w:cs="Arial"/>
          <w:sz w:val="16"/>
          <w:szCs w:val="16"/>
        </w:rPr>
        <w:t xml:space="preserve"> Cálculos propios con información de SIEDCO de la DIJIN - POLICÍA NACIONAL. Información extraída el día 08/01/2019 a las 12:00 horas Elaborado por la Oficina de Análisis de Información y Estudios Estratégicos. Secretaría Distrital de Seguridad, Convivencia y Justicia. Información sujeta a cambios.</w:t>
      </w:r>
    </w:p>
    <w:p w:rsidR="00710538" w:rsidRDefault="00710538" w:rsidP="00710538">
      <w:pPr>
        <w:spacing w:after="0" w:line="240" w:lineRule="auto"/>
        <w:jc w:val="center"/>
        <w:rPr>
          <w:rFonts w:cs="Calibri"/>
          <w:sz w:val="24"/>
          <w:szCs w:val="24"/>
        </w:rPr>
      </w:pPr>
    </w:p>
    <w:p w:rsidR="00710538" w:rsidRPr="001C613A" w:rsidRDefault="00710538" w:rsidP="00710538">
      <w:pPr>
        <w:jc w:val="both"/>
        <w:rPr>
          <w:rFonts w:ascii="Arial" w:hAnsi="Arial" w:cs="Arial"/>
          <w:sz w:val="22"/>
          <w:szCs w:val="22"/>
        </w:rPr>
      </w:pPr>
      <w:r w:rsidRPr="001C613A">
        <w:rPr>
          <w:rFonts w:ascii="Arial" w:hAnsi="Arial" w:cs="Arial"/>
          <w:sz w:val="22"/>
          <w:szCs w:val="22"/>
        </w:rPr>
        <w:lastRenderedPageBreak/>
        <w:t xml:space="preserve">Es importante también tener en cuenta el incremento del 2.8% del hurto de motocicletas durante el 2019, equivale a 112 motocicletas robadas más que en el 2018. Las localidades que más eventos aportaron al crecimiento de este hurto fueron Rafael Uribe, Puente Aranda y San Cristóbal las cuales tuvieron crecimientos en niveles de 77 (34.2%), 50 (29.9%) y 42 (21.2%) respectivamente. </w:t>
      </w:r>
    </w:p>
    <w:p w:rsidR="00710538" w:rsidRPr="001C613A" w:rsidRDefault="00710538" w:rsidP="00710538">
      <w:pPr>
        <w:spacing w:after="0" w:line="240" w:lineRule="auto"/>
        <w:jc w:val="center"/>
        <w:rPr>
          <w:rFonts w:ascii="Arial" w:hAnsi="Arial" w:cs="Arial"/>
          <w:sz w:val="22"/>
          <w:szCs w:val="22"/>
        </w:rPr>
      </w:pPr>
      <w:r w:rsidRPr="001C613A">
        <w:rPr>
          <w:rFonts w:ascii="Arial" w:hAnsi="Arial" w:cs="Arial"/>
          <w:sz w:val="22"/>
          <w:szCs w:val="22"/>
        </w:rPr>
        <w:t>Comparativo mensual 2018-2019 – Hurto de motocicletas</w:t>
      </w:r>
    </w:p>
    <w:p w:rsidR="00710538" w:rsidRDefault="00710538" w:rsidP="00710538">
      <w:pPr>
        <w:spacing w:after="0" w:line="240" w:lineRule="auto"/>
        <w:jc w:val="center"/>
        <w:rPr>
          <w:rFonts w:cs="Calibri"/>
          <w:sz w:val="24"/>
          <w:szCs w:val="24"/>
          <w:highlight w:val="lightGray"/>
        </w:rPr>
      </w:pPr>
      <w:r w:rsidRPr="00AD0438">
        <w:rPr>
          <w:noProof/>
          <w:lang w:val="es-CO" w:eastAsia="es-CO"/>
        </w:rPr>
        <w:drawing>
          <wp:inline distT="0" distB="0" distL="0" distR="0">
            <wp:extent cx="5610225" cy="22098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2209800"/>
                    </a:xfrm>
                    <a:prstGeom prst="rect">
                      <a:avLst/>
                    </a:prstGeom>
                    <a:noFill/>
                    <a:ln>
                      <a:noFill/>
                    </a:ln>
                  </pic:spPr>
                </pic:pic>
              </a:graphicData>
            </a:graphic>
          </wp:inline>
        </w:drawing>
      </w:r>
    </w:p>
    <w:p w:rsidR="00710538" w:rsidRDefault="00710538" w:rsidP="00710538">
      <w:pPr>
        <w:spacing w:after="0" w:line="240" w:lineRule="auto"/>
        <w:ind w:left="142" w:right="-1"/>
        <w:rPr>
          <w:rFonts w:cs="Calibri"/>
          <w:sz w:val="16"/>
          <w:szCs w:val="16"/>
        </w:rPr>
      </w:pPr>
      <w:r>
        <w:rPr>
          <w:rFonts w:cs="Calibri"/>
          <w:b/>
          <w:sz w:val="16"/>
          <w:szCs w:val="16"/>
        </w:rPr>
        <w:t>Fuente:</w:t>
      </w:r>
      <w:r>
        <w:rPr>
          <w:rFonts w:cs="Calibri"/>
          <w:sz w:val="16"/>
          <w:szCs w:val="16"/>
        </w:rPr>
        <w:t xml:space="preserve"> Cálculos propios con información de SIEDCO de la DIJIN - POLICÍA NACIONAL. Información extraída el día 08/01/2019 a las 12:00 horas Elaborado por la Oficina de Análisis de Información y Estudios Estratégicos. Secretaría Distrital de Seguridad, Convivencia y Justicia. Información sujeta a cambios.</w:t>
      </w:r>
    </w:p>
    <w:p w:rsidR="00710538" w:rsidRDefault="00710538" w:rsidP="00710538">
      <w:pPr>
        <w:spacing w:after="0" w:line="240" w:lineRule="auto"/>
        <w:jc w:val="both"/>
        <w:rPr>
          <w:rFonts w:cs="Calibri"/>
          <w:sz w:val="24"/>
          <w:szCs w:val="24"/>
        </w:rPr>
      </w:pPr>
    </w:p>
    <w:p w:rsidR="00710538" w:rsidRDefault="00710538" w:rsidP="00710538">
      <w:pPr>
        <w:spacing w:after="0" w:line="240" w:lineRule="auto"/>
        <w:rPr>
          <w:rFonts w:cs="Calibri"/>
        </w:rPr>
      </w:pPr>
    </w:p>
    <w:p w:rsidR="00710538" w:rsidRPr="00E94065" w:rsidRDefault="00710538" w:rsidP="00710538">
      <w:pPr>
        <w:numPr>
          <w:ilvl w:val="0"/>
          <w:numId w:val="17"/>
        </w:numPr>
        <w:spacing w:after="0" w:line="240" w:lineRule="auto"/>
        <w:rPr>
          <w:rFonts w:ascii="Arial" w:hAnsi="Arial" w:cs="Arial"/>
          <w:sz w:val="22"/>
          <w:szCs w:val="22"/>
        </w:rPr>
      </w:pPr>
      <w:r w:rsidRPr="00E94065">
        <w:rPr>
          <w:rFonts w:ascii="Arial" w:hAnsi="Arial" w:cs="Arial"/>
          <w:b/>
          <w:sz w:val="22"/>
          <w:szCs w:val="22"/>
        </w:rPr>
        <w:t>Hurto a personas</w:t>
      </w:r>
      <w:r w:rsidRPr="00E94065">
        <w:rPr>
          <w:rFonts w:ascii="Arial" w:hAnsi="Arial" w:cs="Arial"/>
          <w:sz w:val="22"/>
          <w:szCs w:val="22"/>
        </w:rPr>
        <w:br/>
      </w:r>
      <w:r w:rsidRPr="00E94065">
        <w:rPr>
          <w:rFonts w:ascii="Arial" w:hAnsi="Arial" w:cs="Arial"/>
          <w:b/>
          <w:sz w:val="22"/>
          <w:szCs w:val="22"/>
        </w:rPr>
        <w:t>Meta:</w:t>
      </w:r>
      <w:r w:rsidRPr="00E94065">
        <w:rPr>
          <w:rFonts w:ascii="Arial" w:hAnsi="Arial" w:cs="Arial"/>
          <w:sz w:val="22"/>
          <w:szCs w:val="22"/>
        </w:rPr>
        <w:t xml:space="preserve"> Reducir a 1.259,2 la tasa de hurto a personas por cada 100 mil personas</w:t>
      </w:r>
      <w:r w:rsidRPr="00E94065">
        <w:rPr>
          <w:rFonts w:ascii="Arial" w:hAnsi="Arial" w:cs="Arial"/>
          <w:sz w:val="22"/>
          <w:szCs w:val="22"/>
        </w:rPr>
        <w:br/>
      </w:r>
      <w:r w:rsidRPr="00E94065">
        <w:rPr>
          <w:rFonts w:ascii="Arial" w:hAnsi="Arial" w:cs="Arial"/>
          <w:b/>
          <w:sz w:val="22"/>
          <w:szCs w:val="22"/>
        </w:rPr>
        <w:t>Línea base (2015):</w:t>
      </w:r>
      <w:r w:rsidRPr="00E94065">
        <w:rPr>
          <w:rFonts w:ascii="Arial" w:hAnsi="Arial" w:cs="Arial"/>
          <w:sz w:val="22"/>
          <w:szCs w:val="22"/>
        </w:rPr>
        <w:t xml:space="preserve"> 1573,8 hurtos por cada 100 mil personas</w:t>
      </w:r>
      <w:r w:rsidRPr="00E94065">
        <w:rPr>
          <w:rFonts w:ascii="Arial" w:hAnsi="Arial" w:cs="Arial"/>
          <w:sz w:val="22"/>
          <w:szCs w:val="22"/>
        </w:rPr>
        <w:br/>
      </w:r>
    </w:p>
    <w:p w:rsidR="00710538" w:rsidRPr="00236CB3" w:rsidRDefault="00710538" w:rsidP="00710538">
      <w:pPr>
        <w:jc w:val="both"/>
        <w:rPr>
          <w:rFonts w:ascii="Arial" w:hAnsi="Arial" w:cs="Arial"/>
        </w:rPr>
      </w:pPr>
      <w:r w:rsidRPr="00E94065">
        <w:rPr>
          <w:rFonts w:ascii="Arial" w:hAnsi="Arial" w:cs="Arial"/>
          <w:sz w:val="22"/>
          <w:szCs w:val="22"/>
        </w:rPr>
        <w:t>En cuanto a hurto a personas, durante el 2019 se presentaron 21372 (20.2%) eventos más respecto a 2018. Si bien las cifras muestran un aumento significativo en el hurto a personas, hay un ajuste estadístico en la metodología de recolección y de homologación de la base de datos del SIEDCO de la DIJIN y el SPOA de la Fiscalía, lo cual hace que sea difícil comparar las cifras previas y posteriores</w:t>
      </w:r>
      <w:r w:rsidRPr="00236CB3">
        <w:rPr>
          <w:rFonts w:ascii="Arial" w:hAnsi="Arial" w:cs="Arial"/>
        </w:rPr>
        <w:t xml:space="preserve"> al 2016.</w:t>
      </w:r>
    </w:p>
    <w:p w:rsidR="00544701" w:rsidRDefault="00544701" w:rsidP="00710538">
      <w:pPr>
        <w:spacing w:after="0" w:line="240" w:lineRule="auto"/>
        <w:jc w:val="center"/>
        <w:rPr>
          <w:rFonts w:ascii="Arial" w:hAnsi="Arial" w:cs="Arial"/>
          <w:sz w:val="22"/>
          <w:szCs w:val="22"/>
        </w:rPr>
      </w:pPr>
    </w:p>
    <w:p w:rsidR="00544701" w:rsidRDefault="00544701" w:rsidP="00710538">
      <w:pPr>
        <w:spacing w:after="0" w:line="240" w:lineRule="auto"/>
        <w:jc w:val="center"/>
        <w:rPr>
          <w:rFonts w:ascii="Arial" w:hAnsi="Arial" w:cs="Arial"/>
          <w:sz w:val="22"/>
          <w:szCs w:val="22"/>
        </w:rPr>
      </w:pPr>
    </w:p>
    <w:p w:rsidR="00544701" w:rsidRDefault="00544701" w:rsidP="00710538">
      <w:pPr>
        <w:spacing w:after="0" w:line="240" w:lineRule="auto"/>
        <w:jc w:val="center"/>
        <w:rPr>
          <w:rFonts w:ascii="Arial" w:hAnsi="Arial" w:cs="Arial"/>
          <w:sz w:val="22"/>
          <w:szCs w:val="22"/>
        </w:rPr>
      </w:pPr>
    </w:p>
    <w:p w:rsidR="00544701" w:rsidRDefault="00544701" w:rsidP="00710538">
      <w:pPr>
        <w:spacing w:after="0" w:line="240" w:lineRule="auto"/>
        <w:jc w:val="center"/>
        <w:rPr>
          <w:rFonts w:ascii="Arial" w:hAnsi="Arial" w:cs="Arial"/>
          <w:sz w:val="22"/>
          <w:szCs w:val="22"/>
        </w:rPr>
      </w:pPr>
    </w:p>
    <w:p w:rsidR="00544701" w:rsidRDefault="00544701" w:rsidP="00710538">
      <w:pPr>
        <w:spacing w:after="0" w:line="240" w:lineRule="auto"/>
        <w:jc w:val="center"/>
        <w:rPr>
          <w:rFonts w:ascii="Arial" w:hAnsi="Arial" w:cs="Arial"/>
          <w:sz w:val="22"/>
          <w:szCs w:val="22"/>
        </w:rPr>
      </w:pPr>
    </w:p>
    <w:p w:rsidR="00544701" w:rsidRDefault="00544701" w:rsidP="00710538">
      <w:pPr>
        <w:spacing w:after="0" w:line="240" w:lineRule="auto"/>
        <w:jc w:val="center"/>
        <w:rPr>
          <w:rFonts w:ascii="Arial" w:hAnsi="Arial" w:cs="Arial"/>
          <w:sz w:val="22"/>
          <w:szCs w:val="22"/>
        </w:rPr>
      </w:pPr>
    </w:p>
    <w:p w:rsidR="00544701" w:rsidRDefault="00544701" w:rsidP="00710538">
      <w:pPr>
        <w:spacing w:after="0" w:line="240" w:lineRule="auto"/>
        <w:jc w:val="center"/>
        <w:rPr>
          <w:rFonts w:ascii="Arial" w:hAnsi="Arial" w:cs="Arial"/>
          <w:sz w:val="22"/>
          <w:szCs w:val="22"/>
        </w:rPr>
      </w:pPr>
    </w:p>
    <w:p w:rsidR="00544701" w:rsidRDefault="00544701" w:rsidP="00710538">
      <w:pPr>
        <w:spacing w:after="0" w:line="240" w:lineRule="auto"/>
        <w:jc w:val="center"/>
        <w:rPr>
          <w:rFonts w:ascii="Arial" w:hAnsi="Arial" w:cs="Arial"/>
          <w:sz w:val="22"/>
          <w:szCs w:val="22"/>
        </w:rPr>
      </w:pPr>
    </w:p>
    <w:p w:rsidR="00544701" w:rsidRDefault="00544701" w:rsidP="00710538">
      <w:pPr>
        <w:spacing w:after="0" w:line="240" w:lineRule="auto"/>
        <w:jc w:val="center"/>
        <w:rPr>
          <w:rFonts w:ascii="Arial" w:hAnsi="Arial" w:cs="Arial"/>
          <w:sz w:val="22"/>
          <w:szCs w:val="22"/>
        </w:rPr>
      </w:pPr>
    </w:p>
    <w:p w:rsidR="00544701" w:rsidRDefault="00544701" w:rsidP="00710538">
      <w:pPr>
        <w:spacing w:after="0" w:line="240" w:lineRule="auto"/>
        <w:jc w:val="center"/>
        <w:rPr>
          <w:rFonts w:ascii="Arial" w:hAnsi="Arial" w:cs="Arial"/>
          <w:sz w:val="22"/>
          <w:szCs w:val="22"/>
        </w:rPr>
      </w:pPr>
    </w:p>
    <w:p w:rsidR="00710538" w:rsidRPr="00E94065" w:rsidRDefault="00710538" w:rsidP="00710538">
      <w:pPr>
        <w:spacing w:after="0" w:line="240" w:lineRule="auto"/>
        <w:jc w:val="center"/>
        <w:rPr>
          <w:rFonts w:ascii="Arial" w:hAnsi="Arial" w:cs="Arial"/>
          <w:sz w:val="22"/>
          <w:szCs w:val="22"/>
        </w:rPr>
      </w:pPr>
      <w:r w:rsidRPr="00E94065">
        <w:rPr>
          <w:rFonts w:ascii="Arial" w:hAnsi="Arial" w:cs="Arial"/>
          <w:sz w:val="22"/>
          <w:szCs w:val="22"/>
        </w:rPr>
        <w:lastRenderedPageBreak/>
        <w:t>Comparativo mensual 2018-2019 – Hurto a personas</w:t>
      </w:r>
    </w:p>
    <w:p w:rsidR="00710538" w:rsidRDefault="00710538" w:rsidP="00710538">
      <w:pPr>
        <w:spacing w:after="0" w:line="240" w:lineRule="auto"/>
        <w:jc w:val="center"/>
        <w:rPr>
          <w:rFonts w:cs="Calibri"/>
          <w:noProof/>
          <w:sz w:val="24"/>
          <w:szCs w:val="24"/>
        </w:rPr>
      </w:pPr>
      <w:r w:rsidRPr="00AD0438">
        <w:rPr>
          <w:noProof/>
          <w:lang w:val="es-CO" w:eastAsia="es-CO"/>
        </w:rPr>
        <w:drawing>
          <wp:inline distT="0" distB="0" distL="0" distR="0">
            <wp:extent cx="5610225" cy="20478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2047875"/>
                    </a:xfrm>
                    <a:prstGeom prst="rect">
                      <a:avLst/>
                    </a:prstGeom>
                    <a:noFill/>
                    <a:ln>
                      <a:noFill/>
                    </a:ln>
                  </pic:spPr>
                </pic:pic>
              </a:graphicData>
            </a:graphic>
          </wp:inline>
        </w:drawing>
      </w:r>
    </w:p>
    <w:p w:rsidR="00710538" w:rsidRPr="00E94065" w:rsidRDefault="00710538" w:rsidP="00710538">
      <w:pPr>
        <w:spacing w:after="0" w:line="240" w:lineRule="auto"/>
        <w:ind w:left="142" w:right="-1"/>
        <w:rPr>
          <w:rFonts w:ascii="Arial" w:hAnsi="Arial" w:cs="Arial"/>
          <w:sz w:val="16"/>
          <w:szCs w:val="16"/>
        </w:rPr>
      </w:pPr>
      <w:r w:rsidRPr="00E94065">
        <w:rPr>
          <w:rFonts w:ascii="Arial" w:hAnsi="Arial" w:cs="Arial"/>
          <w:b/>
          <w:sz w:val="16"/>
          <w:szCs w:val="16"/>
        </w:rPr>
        <w:t>Fuente:</w:t>
      </w:r>
      <w:r w:rsidRPr="00E94065">
        <w:rPr>
          <w:rFonts w:ascii="Arial" w:hAnsi="Arial" w:cs="Arial"/>
          <w:sz w:val="16"/>
          <w:szCs w:val="16"/>
        </w:rPr>
        <w:t xml:space="preserve"> Cálculos propios con información de SIEDCO de la DIJIN - POLICÍA NACIONAL. Información extraída el día 08/01/2019 a las 12:00 horas Elaborado por la Oficina de Análisis de Información y Estudios Estratégicos. Secretaría Distrital de Seguridad, Convivencia y Justicia. Información sujeta a cambios.</w:t>
      </w:r>
    </w:p>
    <w:p w:rsidR="00710538" w:rsidRPr="00E94065" w:rsidRDefault="00710538" w:rsidP="00710538">
      <w:pPr>
        <w:spacing w:after="0" w:line="240" w:lineRule="auto"/>
        <w:jc w:val="both"/>
        <w:rPr>
          <w:rFonts w:ascii="Arial" w:hAnsi="Arial" w:cs="Arial"/>
          <w:sz w:val="24"/>
          <w:szCs w:val="24"/>
          <w:highlight w:val="lightGray"/>
        </w:rPr>
      </w:pPr>
    </w:p>
    <w:p w:rsidR="00710538" w:rsidRPr="00E94065" w:rsidRDefault="00710538" w:rsidP="00710538">
      <w:pPr>
        <w:numPr>
          <w:ilvl w:val="0"/>
          <w:numId w:val="13"/>
        </w:numPr>
        <w:spacing w:after="0" w:line="240" w:lineRule="auto"/>
        <w:rPr>
          <w:rFonts w:ascii="Arial" w:hAnsi="Arial" w:cs="Arial"/>
          <w:sz w:val="22"/>
          <w:szCs w:val="22"/>
        </w:rPr>
      </w:pPr>
      <w:r w:rsidRPr="00E94065">
        <w:rPr>
          <w:rFonts w:ascii="Arial" w:hAnsi="Arial" w:cs="Arial"/>
          <w:b/>
          <w:sz w:val="22"/>
          <w:szCs w:val="22"/>
        </w:rPr>
        <w:t>Hurto a residencias</w:t>
      </w:r>
      <w:r w:rsidRPr="00E94065">
        <w:rPr>
          <w:rFonts w:ascii="Arial" w:hAnsi="Arial" w:cs="Arial"/>
          <w:b/>
          <w:sz w:val="22"/>
          <w:szCs w:val="22"/>
        </w:rPr>
        <w:br/>
        <w:t>Meta:</w:t>
      </w:r>
      <w:r w:rsidRPr="00E94065">
        <w:rPr>
          <w:rFonts w:ascii="Arial" w:hAnsi="Arial" w:cs="Arial"/>
          <w:sz w:val="22"/>
          <w:szCs w:val="22"/>
        </w:rPr>
        <w:t xml:space="preserve"> Disminuir a 1,5% el nivel de victimización por robo a residencias </w:t>
      </w:r>
      <w:r w:rsidRPr="00E94065">
        <w:rPr>
          <w:rFonts w:ascii="Arial" w:hAnsi="Arial" w:cs="Arial"/>
          <w:sz w:val="22"/>
          <w:szCs w:val="22"/>
        </w:rPr>
        <w:br/>
      </w:r>
      <w:r w:rsidRPr="00E94065">
        <w:rPr>
          <w:rFonts w:ascii="Arial" w:hAnsi="Arial" w:cs="Arial"/>
          <w:b/>
          <w:sz w:val="22"/>
          <w:szCs w:val="22"/>
        </w:rPr>
        <w:t>Línea base:</w:t>
      </w:r>
      <w:r w:rsidRPr="00E94065">
        <w:rPr>
          <w:rFonts w:ascii="Arial" w:hAnsi="Arial" w:cs="Arial"/>
          <w:sz w:val="22"/>
          <w:szCs w:val="22"/>
        </w:rPr>
        <w:t xml:space="preserve"> Dentro del total de personas que han sido víctimas de algún hurto, el 2% ha sido víctima del hurto a residencias.</w:t>
      </w:r>
      <w:r w:rsidRPr="00E94065">
        <w:rPr>
          <w:rFonts w:ascii="Arial" w:hAnsi="Arial" w:cs="Arial"/>
          <w:b/>
          <w:sz w:val="22"/>
          <w:szCs w:val="22"/>
        </w:rPr>
        <w:t xml:space="preserve"> </w:t>
      </w:r>
    </w:p>
    <w:p w:rsidR="00710538" w:rsidRPr="00E94065" w:rsidRDefault="00710538" w:rsidP="00710538">
      <w:pPr>
        <w:spacing w:after="0" w:line="240" w:lineRule="auto"/>
        <w:ind w:left="360"/>
        <w:rPr>
          <w:rFonts w:ascii="Arial" w:hAnsi="Arial" w:cs="Arial"/>
          <w:sz w:val="22"/>
          <w:szCs w:val="22"/>
        </w:rPr>
      </w:pPr>
    </w:p>
    <w:p w:rsidR="00710538" w:rsidRPr="00E94065" w:rsidRDefault="00710538" w:rsidP="00710538">
      <w:pPr>
        <w:spacing w:after="0" w:line="240" w:lineRule="auto"/>
        <w:jc w:val="both"/>
        <w:rPr>
          <w:rFonts w:ascii="Arial" w:hAnsi="Arial" w:cs="Arial"/>
          <w:sz w:val="22"/>
          <w:szCs w:val="22"/>
        </w:rPr>
      </w:pPr>
      <w:r w:rsidRPr="00E94065">
        <w:rPr>
          <w:rFonts w:ascii="Arial" w:hAnsi="Arial" w:cs="Arial"/>
          <w:sz w:val="22"/>
          <w:szCs w:val="22"/>
        </w:rPr>
        <w:t xml:space="preserve">Durante el 2019 se registró una reducción en el hurto a residencias con respecto al 2018. </w:t>
      </w:r>
    </w:p>
    <w:p w:rsidR="00710538" w:rsidRPr="00E94065" w:rsidRDefault="00710538" w:rsidP="00710538">
      <w:pPr>
        <w:spacing w:after="0" w:line="240" w:lineRule="auto"/>
        <w:jc w:val="both"/>
        <w:rPr>
          <w:rFonts w:ascii="Arial" w:hAnsi="Arial" w:cs="Arial"/>
          <w:sz w:val="22"/>
          <w:szCs w:val="22"/>
        </w:rPr>
      </w:pPr>
      <w:r w:rsidRPr="00E94065">
        <w:rPr>
          <w:rFonts w:ascii="Arial" w:hAnsi="Arial" w:cs="Arial"/>
          <w:sz w:val="22"/>
          <w:szCs w:val="22"/>
        </w:rPr>
        <w:t>En el 2019 ocurrieron 553 (5.5%) eventos menos respecto al 2018. Las localidades que más han aportado a la disminución del hurto a residencias en la ciudad han sido Tunjuelito, San Cristóbal y Santa Fe donde los hurtos se han reducido en niveles de 52 (24.3%), 73 (17.9%) y 30 (16.9%).</w:t>
      </w:r>
    </w:p>
    <w:p w:rsidR="0078439F" w:rsidRDefault="0078439F" w:rsidP="00710538">
      <w:pPr>
        <w:spacing w:after="0" w:line="240" w:lineRule="auto"/>
        <w:ind w:left="360"/>
        <w:jc w:val="center"/>
        <w:rPr>
          <w:b/>
        </w:rPr>
      </w:pPr>
    </w:p>
    <w:p w:rsidR="00710538" w:rsidRPr="0050115A" w:rsidRDefault="00710538" w:rsidP="00710538">
      <w:pPr>
        <w:spacing w:after="0" w:line="240" w:lineRule="auto"/>
        <w:ind w:left="360"/>
        <w:jc w:val="center"/>
        <w:rPr>
          <w:rFonts w:ascii="Arial" w:hAnsi="Arial" w:cs="Arial"/>
          <w:sz w:val="22"/>
          <w:szCs w:val="22"/>
        </w:rPr>
      </w:pPr>
      <w:r>
        <w:rPr>
          <w:b/>
        </w:rPr>
        <w:t xml:space="preserve"> </w:t>
      </w:r>
      <w:r w:rsidRPr="0050115A">
        <w:rPr>
          <w:rFonts w:ascii="Arial" w:hAnsi="Arial" w:cs="Arial"/>
          <w:sz w:val="22"/>
          <w:szCs w:val="22"/>
        </w:rPr>
        <w:t>Comparativo mensual 2018-2019 – Hurto a residencias</w:t>
      </w:r>
    </w:p>
    <w:p w:rsidR="00710538" w:rsidRPr="00E6237A" w:rsidRDefault="00710538" w:rsidP="00710538">
      <w:pPr>
        <w:spacing w:after="0" w:line="240" w:lineRule="auto"/>
        <w:ind w:left="360"/>
        <w:jc w:val="center"/>
      </w:pPr>
      <w:r w:rsidRPr="00AD0438">
        <w:rPr>
          <w:noProof/>
          <w:lang w:val="es-CO" w:eastAsia="es-CO"/>
        </w:rPr>
        <w:drawing>
          <wp:inline distT="0" distB="0" distL="0" distR="0">
            <wp:extent cx="5610225" cy="22479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2247900"/>
                    </a:xfrm>
                    <a:prstGeom prst="rect">
                      <a:avLst/>
                    </a:prstGeom>
                    <a:noFill/>
                    <a:ln>
                      <a:noFill/>
                    </a:ln>
                  </pic:spPr>
                </pic:pic>
              </a:graphicData>
            </a:graphic>
          </wp:inline>
        </w:drawing>
      </w:r>
    </w:p>
    <w:p w:rsidR="00710538" w:rsidRPr="00E6237A" w:rsidRDefault="00710538" w:rsidP="00710538">
      <w:pPr>
        <w:spacing w:after="0" w:line="240" w:lineRule="auto"/>
        <w:ind w:left="142" w:right="-1"/>
        <w:rPr>
          <w:rFonts w:cs="Calibri"/>
          <w:sz w:val="16"/>
          <w:szCs w:val="16"/>
        </w:rPr>
      </w:pPr>
      <w:r w:rsidRPr="003C5B92">
        <w:rPr>
          <w:rFonts w:ascii="Arial" w:hAnsi="Arial" w:cs="Arial"/>
          <w:sz w:val="16"/>
          <w:szCs w:val="16"/>
        </w:rPr>
        <w:t xml:space="preserve">Fuente: </w:t>
      </w:r>
      <w:r w:rsidRPr="005C1C89">
        <w:rPr>
          <w:rFonts w:ascii="Arial" w:hAnsi="Arial" w:cs="Arial"/>
          <w:sz w:val="16"/>
          <w:szCs w:val="16"/>
        </w:rPr>
        <w:t xml:space="preserve">Cálculos propios con información de SIEDCO de la DIJIN - POLICÍA NACIONAL. Información extraída el día </w:t>
      </w:r>
      <w:r>
        <w:rPr>
          <w:rFonts w:cs="Calibri"/>
          <w:sz w:val="16"/>
          <w:szCs w:val="16"/>
        </w:rPr>
        <w:t>22</w:t>
      </w:r>
      <w:r w:rsidRPr="00B23B70">
        <w:rPr>
          <w:rFonts w:cs="Calibri"/>
          <w:sz w:val="16"/>
          <w:szCs w:val="16"/>
        </w:rPr>
        <w:t>/</w:t>
      </w:r>
      <w:r>
        <w:rPr>
          <w:rFonts w:cs="Calibri"/>
          <w:sz w:val="16"/>
          <w:szCs w:val="16"/>
        </w:rPr>
        <w:t>01/2020</w:t>
      </w:r>
      <w:r w:rsidRPr="00B23B70">
        <w:rPr>
          <w:rFonts w:cs="Calibri"/>
          <w:sz w:val="16"/>
          <w:szCs w:val="16"/>
        </w:rPr>
        <w:t xml:space="preserve"> </w:t>
      </w:r>
      <w:r w:rsidRPr="005C1C89">
        <w:rPr>
          <w:rFonts w:ascii="Arial" w:hAnsi="Arial" w:cs="Arial"/>
          <w:sz w:val="16"/>
          <w:szCs w:val="16"/>
        </w:rPr>
        <w:t>a las 1</w:t>
      </w:r>
      <w:r>
        <w:rPr>
          <w:rFonts w:ascii="Arial" w:hAnsi="Arial" w:cs="Arial"/>
          <w:sz w:val="16"/>
          <w:szCs w:val="16"/>
        </w:rPr>
        <w:t>2</w:t>
      </w:r>
      <w:r w:rsidRPr="005C1C89">
        <w:rPr>
          <w:rFonts w:ascii="Arial" w:hAnsi="Arial" w:cs="Arial"/>
          <w:sz w:val="16"/>
          <w:szCs w:val="16"/>
        </w:rPr>
        <w:t>:00 horas Elaborado por la Oficina de Análisis de Información y Estudios Estratégicos. Secretaría Distrital de Seguridad, Convivencia y Justicia. Información sujeta a cambios</w:t>
      </w:r>
      <w:r w:rsidRPr="00E6237A">
        <w:rPr>
          <w:rFonts w:cs="Calibri"/>
          <w:sz w:val="16"/>
          <w:szCs w:val="16"/>
        </w:rPr>
        <w:t>.</w:t>
      </w:r>
    </w:p>
    <w:p w:rsidR="00710538" w:rsidRPr="0006123C" w:rsidRDefault="00710538" w:rsidP="00710538">
      <w:pPr>
        <w:spacing w:after="0" w:line="240" w:lineRule="auto"/>
        <w:jc w:val="both"/>
        <w:rPr>
          <w:rFonts w:cs="Calibri"/>
          <w:sz w:val="24"/>
          <w:szCs w:val="24"/>
        </w:rPr>
      </w:pPr>
    </w:p>
    <w:p w:rsidR="00710538" w:rsidRPr="00E94065" w:rsidRDefault="00710538" w:rsidP="00710538">
      <w:pPr>
        <w:numPr>
          <w:ilvl w:val="0"/>
          <w:numId w:val="14"/>
        </w:numPr>
        <w:spacing w:line="240" w:lineRule="auto"/>
        <w:ind w:left="426"/>
        <w:rPr>
          <w:rFonts w:ascii="Arial" w:hAnsi="Arial" w:cs="Arial"/>
          <w:sz w:val="22"/>
          <w:szCs w:val="22"/>
        </w:rPr>
      </w:pPr>
      <w:r w:rsidRPr="00E94065">
        <w:rPr>
          <w:rFonts w:ascii="Arial" w:hAnsi="Arial" w:cs="Arial"/>
          <w:b/>
          <w:sz w:val="22"/>
          <w:szCs w:val="22"/>
        </w:rPr>
        <w:lastRenderedPageBreak/>
        <w:t>Hurto de celulares</w:t>
      </w:r>
      <w:r w:rsidRPr="00E94065">
        <w:rPr>
          <w:rFonts w:ascii="Arial" w:hAnsi="Arial" w:cs="Arial"/>
          <w:b/>
          <w:sz w:val="22"/>
          <w:szCs w:val="22"/>
        </w:rPr>
        <w:br/>
        <w:t xml:space="preserve">Meta: </w:t>
      </w:r>
      <w:r w:rsidRPr="00E94065">
        <w:rPr>
          <w:rFonts w:ascii="Arial" w:hAnsi="Arial" w:cs="Arial"/>
          <w:sz w:val="22"/>
          <w:szCs w:val="22"/>
        </w:rPr>
        <w:t>Reducir a 297.156 el número de celulares hurtados</w:t>
      </w:r>
      <w:r w:rsidRPr="00E94065">
        <w:rPr>
          <w:rFonts w:ascii="Arial" w:hAnsi="Arial" w:cs="Arial"/>
          <w:b/>
          <w:sz w:val="22"/>
          <w:szCs w:val="22"/>
        </w:rPr>
        <w:br/>
        <w:t xml:space="preserve">Línea base (2015): </w:t>
      </w:r>
      <w:r w:rsidRPr="00E94065">
        <w:rPr>
          <w:rFonts w:ascii="Arial" w:hAnsi="Arial" w:cs="Arial"/>
          <w:sz w:val="22"/>
          <w:szCs w:val="22"/>
        </w:rPr>
        <w:t xml:space="preserve">371.445 hurtos (Fuente: Corte Inglés) </w:t>
      </w:r>
      <w:r w:rsidRPr="00E94065">
        <w:rPr>
          <w:rFonts w:ascii="Arial" w:hAnsi="Arial" w:cs="Arial"/>
          <w:b/>
          <w:sz w:val="22"/>
          <w:szCs w:val="22"/>
        </w:rPr>
        <w:br/>
      </w:r>
    </w:p>
    <w:p w:rsidR="00710538" w:rsidRPr="00E94065" w:rsidRDefault="00710538" w:rsidP="00710538">
      <w:pPr>
        <w:spacing w:after="0" w:line="240" w:lineRule="auto"/>
        <w:jc w:val="both"/>
        <w:rPr>
          <w:rFonts w:ascii="Arial" w:hAnsi="Arial" w:cs="Arial"/>
          <w:sz w:val="22"/>
          <w:szCs w:val="22"/>
        </w:rPr>
      </w:pPr>
      <w:r w:rsidRPr="00E94065">
        <w:rPr>
          <w:rFonts w:ascii="Arial" w:hAnsi="Arial" w:cs="Arial"/>
          <w:sz w:val="22"/>
          <w:szCs w:val="22"/>
        </w:rPr>
        <w:t xml:space="preserve">Utilizando el Corte Inglés, se encuentra que al comparar 2018 y 2019 el hurto de celulares aumentó un 7%, es decir, un crecimiento de 28.887 celulares robados. </w:t>
      </w:r>
    </w:p>
    <w:p w:rsidR="00710538" w:rsidRDefault="00710538" w:rsidP="00710538">
      <w:pPr>
        <w:spacing w:after="0" w:line="240" w:lineRule="auto"/>
        <w:jc w:val="both"/>
        <w:rPr>
          <w:rFonts w:ascii="Arial" w:hAnsi="Arial" w:cs="Arial"/>
        </w:rPr>
      </w:pPr>
    </w:p>
    <w:p w:rsidR="00710538" w:rsidRPr="00313A0C" w:rsidRDefault="00710538" w:rsidP="00710538">
      <w:pPr>
        <w:spacing w:after="0" w:line="240" w:lineRule="auto"/>
        <w:jc w:val="both"/>
        <w:rPr>
          <w:rFonts w:ascii="Arial" w:hAnsi="Arial" w:cs="Arial"/>
        </w:rPr>
      </w:pPr>
    </w:p>
    <w:p w:rsidR="00710538" w:rsidRPr="00F64876" w:rsidRDefault="00710538" w:rsidP="00710538">
      <w:pPr>
        <w:spacing w:after="0" w:line="240" w:lineRule="auto"/>
        <w:jc w:val="center"/>
        <w:rPr>
          <w:rFonts w:ascii="Arial" w:hAnsi="Arial" w:cs="Arial"/>
          <w:sz w:val="22"/>
          <w:szCs w:val="22"/>
        </w:rPr>
      </w:pPr>
      <w:r w:rsidRPr="00F64876">
        <w:rPr>
          <w:rFonts w:ascii="Arial" w:hAnsi="Arial" w:cs="Arial"/>
          <w:sz w:val="22"/>
          <w:szCs w:val="22"/>
        </w:rPr>
        <w:t xml:space="preserve">Comparativo mensual 2018–2019 Hurto de celulares </w:t>
      </w:r>
    </w:p>
    <w:p w:rsidR="00710538" w:rsidRPr="00F64876" w:rsidRDefault="00710538" w:rsidP="00710538">
      <w:pPr>
        <w:spacing w:line="240" w:lineRule="auto"/>
        <w:ind w:left="426"/>
        <w:rPr>
          <w:rFonts w:ascii="Arial" w:hAnsi="Arial" w:cs="Arial"/>
          <w:sz w:val="16"/>
          <w:szCs w:val="16"/>
        </w:rPr>
      </w:pPr>
      <w:r w:rsidRPr="00852740">
        <w:rPr>
          <w:noProof/>
          <w:lang w:val="es-CO" w:eastAsia="es-CO"/>
        </w:rPr>
        <w:drawing>
          <wp:inline distT="0" distB="0" distL="0" distR="0">
            <wp:extent cx="5610225" cy="26289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2628900"/>
                    </a:xfrm>
                    <a:prstGeom prst="rect">
                      <a:avLst/>
                    </a:prstGeom>
                    <a:noFill/>
                    <a:ln>
                      <a:noFill/>
                    </a:ln>
                  </pic:spPr>
                </pic:pic>
              </a:graphicData>
            </a:graphic>
          </wp:inline>
        </w:drawing>
      </w:r>
      <w:r w:rsidRPr="0006123C">
        <w:rPr>
          <w:rFonts w:cs="Calibri"/>
          <w:noProof/>
          <w:lang w:eastAsia="es-ES"/>
        </w:rPr>
        <w:br/>
      </w:r>
      <w:r w:rsidRPr="00F64876">
        <w:rPr>
          <w:rFonts w:ascii="Arial" w:hAnsi="Arial" w:cs="Arial"/>
          <w:b/>
          <w:sz w:val="16"/>
          <w:szCs w:val="16"/>
        </w:rPr>
        <w:t>Fuente:</w:t>
      </w:r>
      <w:r w:rsidRPr="00F64876">
        <w:rPr>
          <w:rFonts w:ascii="Arial" w:hAnsi="Arial" w:cs="Arial"/>
          <w:sz w:val="16"/>
          <w:szCs w:val="16"/>
        </w:rPr>
        <w:t xml:space="preserve"> Cálculos propios con información de la Base de Datos Negativa BDN, administrada por la firma Informática El Corte Ingles SA (IECISA). Información extraída el día 22/01/2020.Elaborado por la Oficina de Análisis de Información y Estudios Estratégicos de la Secretaría Distrital de Seguridad, Convivencia y Justicia. Información sujeta a cambios.</w:t>
      </w:r>
    </w:p>
    <w:p w:rsidR="0062144A" w:rsidRPr="00CE1EF7" w:rsidRDefault="00624EC8" w:rsidP="00624EC8">
      <w:pPr>
        <w:spacing w:after="0" w:line="240" w:lineRule="auto"/>
        <w:rPr>
          <w:rFonts w:ascii="Arial" w:hAnsi="Arial" w:cs="Arial"/>
          <w:b/>
          <w:sz w:val="22"/>
          <w:szCs w:val="22"/>
        </w:rPr>
      </w:pPr>
      <w:r w:rsidRPr="00CE1EF7">
        <w:rPr>
          <w:rFonts w:ascii="Arial" w:hAnsi="Arial" w:cs="Arial"/>
          <w:b/>
          <w:sz w:val="22"/>
          <w:szCs w:val="22"/>
        </w:rPr>
        <w:t>7) P</w:t>
      </w:r>
      <w:r w:rsidR="0062144A" w:rsidRPr="00CE1EF7">
        <w:rPr>
          <w:rFonts w:ascii="Arial" w:hAnsi="Arial" w:cs="Arial"/>
          <w:b/>
          <w:sz w:val="22"/>
          <w:szCs w:val="22"/>
        </w:rPr>
        <w:t>olíticas Públicas Poblacionales</w:t>
      </w:r>
    </w:p>
    <w:p w:rsidR="0062144A" w:rsidRPr="00CE1EF7" w:rsidRDefault="0062144A" w:rsidP="00624EC8">
      <w:pPr>
        <w:spacing w:after="0" w:line="240" w:lineRule="auto"/>
        <w:rPr>
          <w:rFonts w:ascii="Arial" w:hAnsi="Arial" w:cs="Arial"/>
          <w:b/>
          <w:sz w:val="22"/>
          <w:szCs w:val="22"/>
        </w:rPr>
      </w:pPr>
    </w:p>
    <w:p w:rsidR="00310FD5" w:rsidRPr="00CE1EF7" w:rsidRDefault="00624EC8" w:rsidP="0062144A">
      <w:pPr>
        <w:spacing w:after="0" w:line="240" w:lineRule="auto"/>
        <w:jc w:val="both"/>
        <w:rPr>
          <w:rFonts w:ascii="Arial" w:hAnsi="Arial" w:cs="Arial"/>
          <w:sz w:val="22"/>
          <w:szCs w:val="22"/>
        </w:rPr>
      </w:pPr>
      <w:r w:rsidRPr="00CE1EF7">
        <w:rPr>
          <w:rFonts w:ascii="Arial" w:hAnsi="Arial" w:cs="Arial"/>
          <w:sz w:val="22"/>
          <w:szCs w:val="22"/>
        </w:rPr>
        <w:t xml:space="preserve">La entidad no es líder de ninguna de las políticas </w:t>
      </w:r>
      <w:r w:rsidR="0007015D">
        <w:rPr>
          <w:rFonts w:ascii="Arial" w:hAnsi="Arial" w:cs="Arial"/>
          <w:sz w:val="22"/>
          <w:szCs w:val="22"/>
        </w:rPr>
        <w:t xml:space="preserve">públicas </w:t>
      </w:r>
      <w:r w:rsidRPr="00CE1EF7">
        <w:rPr>
          <w:rFonts w:ascii="Arial" w:hAnsi="Arial" w:cs="Arial"/>
          <w:sz w:val="22"/>
          <w:szCs w:val="22"/>
        </w:rPr>
        <w:t>poblacionales relacionadas en este punto.</w:t>
      </w:r>
      <w:bookmarkStart w:id="0" w:name="_GoBack"/>
      <w:bookmarkEnd w:id="0"/>
    </w:p>
    <w:sectPr w:rsidR="00310FD5" w:rsidRPr="00CE1EF7" w:rsidSect="00E7058F">
      <w:pgSz w:w="12240" w:h="15840"/>
      <w:pgMar w:top="2268" w:right="1701" w:bottom="1701" w:left="1701"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465F" w:rsidRDefault="0000465F" w:rsidP="0001578B">
      <w:pPr>
        <w:spacing w:after="0" w:line="240" w:lineRule="auto"/>
      </w:pPr>
      <w:r>
        <w:separator/>
      </w:r>
    </w:p>
  </w:endnote>
  <w:endnote w:type="continuationSeparator" w:id="0">
    <w:p w:rsidR="0000465F" w:rsidRDefault="0000465F" w:rsidP="00015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4000ACFF" w:usb2="00000001" w:usb3="00000000" w:csb0="000001FF" w:csb1="00000000"/>
  </w:font>
  <w:font w:name="Droid Sans">
    <w:panose1 w:val="00000000000000000000"/>
    <w:charset w:val="00"/>
    <w:family w:val="roman"/>
    <w:notTrueType/>
    <w:pitch w:val="default"/>
  </w:font>
  <w:font w:name="Lohit Hind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erif">
    <w:altName w:val="Times New Roman"/>
    <w:charset w:val="01"/>
    <w:family w:val="roman"/>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AD4" w:rsidRDefault="00C25AD4">
    <w:pPr>
      <w:pStyle w:val="Piedepgina"/>
      <w:jc w:val="right"/>
      <w:rPr>
        <w:lang w:eastAsia="es-CO"/>
      </w:rPr>
    </w:pPr>
    <w:r>
      <w:rPr>
        <w:noProof/>
        <w:lang w:val="es-CO" w:eastAsia="es-CO"/>
      </w:rPr>
      <mc:AlternateContent>
        <mc:Choice Requires="wps">
          <w:drawing>
            <wp:anchor distT="0" distB="0" distL="114300" distR="114300" simplePos="0" relativeHeight="251659776" behindDoc="0" locked="0" layoutInCell="1" allowOverlap="1" wp14:anchorId="086769A3" wp14:editId="024C4180">
              <wp:simplePos x="0" y="0"/>
              <wp:positionH relativeFrom="column">
                <wp:posOffset>-342900</wp:posOffset>
              </wp:positionH>
              <wp:positionV relativeFrom="paragraph">
                <wp:posOffset>-200660</wp:posOffset>
              </wp:positionV>
              <wp:extent cx="1828800" cy="800100"/>
              <wp:effectExtent l="0" t="0" r="0"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5AD4" w:rsidRDefault="00C25AD4" w:rsidP="008A1A97">
                          <w:pPr>
                            <w:spacing w:after="0" w:line="240" w:lineRule="auto"/>
                            <w:rPr>
                              <w:rFonts w:ascii="Arial" w:hAnsi="Arial" w:cs="Arial"/>
                              <w:sz w:val="16"/>
                              <w:szCs w:val="16"/>
                              <w:lang w:val="es-MX"/>
                            </w:rPr>
                          </w:pPr>
                        </w:p>
                        <w:p w:rsidR="00C25AD4" w:rsidRDefault="00C25AD4" w:rsidP="008A1A97">
                          <w:pPr>
                            <w:spacing w:after="0" w:line="240" w:lineRule="auto"/>
                            <w:rPr>
                              <w:rFonts w:ascii="Arial" w:hAnsi="Arial" w:cs="Arial"/>
                              <w:sz w:val="16"/>
                              <w:szCs w:val="16"/>
                              <w:lang w:val="es-MX"/>
                            </w:rPr>
                          </w:pPr>
                        </w:p>
                        <w:p w:rsidR="00C25AD4" w:rsidRDefault="00C25AD4" w:rsidP="008A1A97">
                          <w:pPr>
                            <w:spacing w:after="0" w:line="240" w:lineRule="auto"/>
                            <w:rPr>
                              <w:rFonts w:ascii="Arial" w:hAnsi="Arial" w:cs="Arial"/>
                              <w:sz w:val="16"/>
                              <w:szCs w:val="16"/>
                              <w:lang w:val="es-MX"/>
                            </w:rPr>
                          </w:pPr>
                          <w:r>
                            <w:rPr>
                              <w:rFonts w:ascii="Arial" w:hAnsi="Arial" w:cs="Arial"/>
                              <w:sz w:val="16"/>
                              <w:szCs w:val="16"/>
                              <w:lang w:val="es-MX"/>
                            </w:rPr>
                            <w:t>Av. Calle 26 # 57- 41</w:t>
                          </w:r>
                        </w:p>
                        <w:p w:rsidR="00C25AD4" w:rsidRDefault="00C25AD4" w:rsidP="008A1A97">
                          <w:pPr>
                            <w:spacing w:after="0" w:line="240" w:lineRule="auto"/>
                            <w:rPr>
                              <w:rFonts w:ascii="Arial" w:hAnsi="Arial" w:cs="Arial"/>
                              <w:sz w:val="16"/>
                              <w:szCs w:val="16"/>
                              <w:lang w:val="es-MX"/>
                            </w:rPr>
                          </w:pPr>
                          <w:r>
                            <w:rPr>
                              <w:rFonts w:ascii="Arial" w:hAnsi="Arial" w:cs="Arial"/>
                              <w:sz w:val="16"/>
                              <w:szCs w:val="16"/>
                              <w:lang w:val="es-MX"/>
                            </w:rPr>
                            <w:t>Torre 7  Tel: 3779595</w:t>
                          </w:r>
                        </w:p>
                        <w:p w:rsidR="00C25AD4" w:rsidRDefault="00C25AD4" w:rsidP="008A1A97">
                          <w:pPr>
                            <w:spacing w:after="0" w:line="240" w:lineRule="auto"/>
                            <w:rPr>
                              <w:rFonts w:ascii="Arial" w:hAnsi="Arial" w:cs="Arial"/>
                              <w:sz w:val="16"/>
                              <w:szCs w:val="16"/>
                              <w:lang w:val="es-MX"/>
                            </w:rPr>
                          </w:pPr>
                          <w:r>
                            <w:rPr>
                              <w:rFonts w:ascii="Arial" w:hAnsi="Arial" w:cs="Arial"/>
                              <w:sz w:val="16"/>
                              <w:szCs w:val="16"/>
                              <w:lang w:val="es-MX"/>
                            </w:rPr>
                            <w:t>Código Postal: 111321</w:t>
                          </w:r>
                        </w:p>
                        <w:p w:rsidR="00C25AD4" w:rsidRDefault="00C25AD4" w:rsidP="008A1A97">
                          <w:pPr>
                            <w:spacing w:line="240" w:lineRule="auto"/>
                            <w:rPr>
                              <w:rFonts w:ascii="Arial" w:hAnsi="Arial" w:cs="Arial"/>
                              <w:sz w:val="16"/>
                              <w:szCs w:val="16"/>
                              <w:lang w:val="es-MX"/>
                            </w:rPr>
                          </w:pPr>
                          <w:r>
                            <w:rPr>
                              <w:rFonts w:ascii="Arial" w:hAnsi="Arial" w:cs="Arial"/>
                              <w:sz w:val="16"/>
                              <w:szCs w:val="16"/>
                              <w:lang w:val="es-MX"/>
                            </w:rPr>
                            <w:t>www.scj.gov.co</w:t>
                          </w: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769A3" id="Rectangle 1" o:spid="_x0000_s1026" style="position:absolute;left:0;text-align:left;margin-left:-27pt;margin-top:-15.8pt;width:2in;height:6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" stroked="f">
              <v:textbox inset="7.25pt,3.65pt,7.25pt,3.65pt">
                <w:txbxContent>
                  <w:p w:rsidR="00C25AD4" w:rsidRDefault="00C25AD4" w:rsidP="008A1A97">
                    <w:pPr>
                      <w:spacing w:after="0" w:line="240" w:lineRule="auto"/>
                      <w:rPr>
                        <w:rFonts w:ascii="Arial" w:hAnsi="Arial" w:cs="Arial"/>
                        <w:sz w:val="16"/>
                        <w:szCs w:val="16"/>
                        <w:lang w:val="es-MX"/>
                      </w:rPr>
                    </w:pPr>
                  </w:p>
                  <w:p w:rsidR="00C25AD4" w:rsidRDefault="00C25AD4" w:rsidP="008A1A97">
                    <w:pPr>
                      <w:spacing w:after="0" w:line="240" w:lineRule="auto"/>
                      <w:rPr>
                        <w:rFonts w:ascii="Arial" w:hAnsi="Arial" w:cs="Arial"/>
                        <w:sz w:val="16"/>
                        <w:szCs w:val="16"/>
                        <w:lang w:val="es-MX"/>
                      </w:rPr>
                    </w:pPr>
                  </w:p>
                  <w:p w:rsidR="00C25AD4" w:rsidRDefault="00C25AD4" w:rsidP="008A1A97">
                    <w:pPr>
                      <w:spacing w:after="0" w:line="240" w:lineRule="auto"/>
                      <w:rPr>
                        <w:rFonts w:ascii="Arial" w:hAnsi="Arial" w:cs="Arial"/>
                        <w:sz w:val="16"/>
                        <w:szCs w:val="16"/>
                        <w:lang w:val="es-MX"/>
                      </w:rPr>
                    </w:pPr>
                    <w:r>
                      <w:rPr>
                        <w:rFonts w:ascii="Arial" w:hAnsi="Arial" w:cs="Arial"/>
                        <w:sz w:val="16"/>
                        <w:szCs w:val="16"/>
                        <w:lang w:val="es-MX"/>
                      </w:rPr>
                      <w:t>Av. Calle 26 # 57- 41</w:t>
                    </w:r>
                  </w:p>
                  <w:p w:rsidR="00C25AD4" w:rsidRDefault="00C25AD4" w:rsidP="008A1A97">
                    <w:pPr>
                      <w:spacing w:after="0" w:line="240" w:lineRule="auto"/>
                      <w:rPr>
                        <w:rFonts w:ascii="Arial" w:hAnsi="Arial" w:cs="Arial"/>
                        <w:sz w:val="16"/>
                        <w:szCs w:val="16"/>
                        <w:lang w:val="es-MX"/>
                      </w:rPr>
                    </w:pPr>
                    <w:r>
                      <w:rPr>
                        <w:rFonts w:ascii="Arial" w:hAnsi="Arial" w:cs="Arial"/>
                        <w:sz w:val="16"/>
                        <w:szCs w:val="16"/>
                        <w:lang w:val="es-MX"/>
                      </w:rPr>
                      <w:t>Torre 7  Tel: 3779595</w:t>
                    </w:r>
                  </w:p>
                  <w:p w:rsidR="00C25AD4" w:rsidRDefault="00C25AD4" w:rsidP="008A1A97">
                    <w:pPr>
                      <w:spacing w:after="0" w:line="240" w:lineRule="auto"/>
                      <w:rPr>
                        <w:rFonts w:ascii="Arial" w:hAnsi="Arial" w:cs="Arial"/>
                        <w:sz w:val="16"/>
                        <w:szCs w:val="16"/>
                        <w:lang w:val="es-MX"/>
                      </w:rPr>
                    </w:pPr>
                    <w:r>
                      <w:rPr>
                        <w:rFonts w:ascii="Arial" w:hAnsi="Arial" w:cs="Arial"/>
                        <w:sz w:val="16"/>
                        <w:szCs w:val="16"/>
                        <w:lang w:val="es-MX"/>
                      </w:rPr>
                      <w:t>Código Postal: 111321</w:t>
                    </w:r>
                  </w:p>
                  <w:p w:rsidR="00C25AD4" w:rsidRDefault="00C25AD4" w:rsidP="008A1A97">
                    <w:pPr>
                      <w:spacing w:line="240" w:lineRule="auto"/>
                      <w:rPr>
                        <w:rFonts w:ascii="Arial" w:hAnsi="Arial" w:cs="Arial"/>
                        <w:sz w:val="16"/>
                        <w:szCs w:val="16"/>
                        <w:lang w:val="es-MX"/>
                      </w:rPr>
                    </w:pPr>
                    <w:r>
                      <w:rPr>
                        <w:rFonts w:ascii="Arial" w:hAnsi="Arial" w:cs="Arial"/>
                        <w:sz w:val="16"/>
                        <w:szCs w:val="16"/>
                        <w:lang w:val="es-MX"/>
                      </w:rPr>
                      <w:t>www.scj.gov.co</w:t>
                    </w:r>
                  </w:p>
                </w:txbxContent>
              </v:textbox>
            </v:rect>
          </w:pict>
        </mc:Fallback>
      </mc:AlternateContent>
    </w:r>
    <w:r>
      <w:rPr>
        <w:noProof/>
        <w:lang w:val="es-CO" w:eastAsia="es-CO"/>
      </w:rPr>
      <mc:AlternateContent>
        <mc:Choice Requires="wps">
          <w:drawing>
            <wp:anchor distT="0" distB="0" distL="114300" distR="114300" simplePos="0" relativeHeight="251657728" behindDoc="0" locked="0" layoutInCell="1" allowOverlap="1" wp14:anchorId="30238DBC" wp14:editId="5F0124C2">
              <wp:simplePos x="0" y="0"/>
              <wp:positionH relativeFrom="column">
                <wp:posOffset>2428875</wp:posOffset>
              </wp:positionH>
              <wp:positionV relativeFrom="paragraph">
                <wp:posOffset>165735</wp:posOffset>
              </wp:positionV>
              <wp:extent cx="1257300" cy="2286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2573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25AD4" w:rsidRPr="00E94095" w:rsidRDefault="00C25AD4" w:rsidP="00847139">
                          <w:pPr>
                            <w:jc w:val="center"/>
                            <w:rPr>
                              <w:rFonts w:ascii="Arial" w:hAnsi="Arial"/>
                              <w:color w:val="404040" w:themeColor="text1" w:themeTint="BF"/>
                            </w:rPr>
                          </w:pPr>
                          <w:r>
                            <w:rPr>
                              <w:rFonts w:ascii="Arial" w:hAnsi="Arial"/>
                              <w:color w:val="404040" w:themeColor="text1" w:themeTint="BF"/>
                            </w:rPr>
                            <w:t>F-GC</w:t>
                          </w:r>
                          <w:r w:rsidRPr="00E94095">
                            <w:rPr>
                              <w:rFonts w:ascii="Arial" w:hAnsi="Arial"/>
                              <w:color w:val="404040" w:themeColor="text1" w:themeTint="BF"/>
                            </w:rPr>
                            <w:t>-</w:t>
                          </w:r>
                          <w:r>
                            <w:rPr>
                              <w:rFonts w:ascii="Arial" w:hAnsi="Arial"/>
                              <w:color w:val="404040" w:themeColor="text1" w:themeTint="BF"/>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238DBC" id="_x0000_t202" coordsize="21600,21600" o:spt="202" path="m,l,21600r21600,l21600,xe">
              <v:stroke joinstyle="miter"/>
              <v:path gradientshapeok="t" o:connecttype="rect"/>
            </v:shapetype>
            <v:shape id="Text Box 2" o:spid="_x0000_s1027" type="#_x0000_t202" style="position:absolute;left:0;text-align:left;margin-left:191.25pt;margin-top:13.05pt;width:99pt;height:18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" filled="f" stroked="f">
              <v:textbox>
                <w:txbxContent>
                  <w:p w:rsidR="00C25AD4" w:rsidRPr="00E94095" w:rsidRDefault="00C25AD4" w:rsidP="00847139">
                    <w:pPr>
                      <w:jc w:val="center"/>
                      <w:rPr>
                        <w:rFonts w:ascii="Arial" w:hAnsi="Arial"/>
                        <w:color w:val="404040" w:themeColor="text1" w:themeTint="BF"/>
                      </w:rPr>
                    </w:pPr>
                    <w:r>
                      <w:rPr>
                        <w:rFonts w:ascii="Arial" w:hAnsi="Arial"/>
                        <w:color w:val="404040" w:themeColor="text1" w:themeTint="BF"/>
                      </w:rPr>
                      <w:t>F-GC</w:t>
                    </w:r>
                    <w:r w:rsidRPr="00E94095">
                      <w:rPr>
                        <w:rFonts w:ascii="Arial" w:hAnsi="Arial"/>
                        <w:color w:val="404040" w:themeColor="text1" w:themeTint="BF"/>
                      </w:rPr>
                      <w:t>-</w:t>
                    </w:r>
                    <w:r>
                      <w:rPr>
                        <w:rFonts w:ascii="Arial" w:hAnsi="Arial"/>
                        <w:color w:val="404040" w:themeColor="text1" w:themeTint="BF"/>
                      </w:rPr>
                      <w:t>8</w:t>
                    </w:r>
                  </w:p>
                </w:txbxContent>
              </v:textbox>
            </v:shape>
          </w:pict>
        </mc:Fallback>
      </mc:AlternateContent>
    </w:r>
    <w:r>
      <w:rPr>
        <w:noProof/>
        <w:lang w:val="es-CO" w:eastAsia="es-CO"/>
      </w:rPr>
      <w:drawing>
        <wp:anchor distT="0" distB="0" distL="114300" distR="114300" simplePos="0" relativeHeight="251656704" behindDoc="0" locked="0" layoutInCell="1" allowOverlap="1" wp14:anchorId="49EC20E9" wp14:editId="02B75CD8">
          <wp:simplePos x="0" y="0"/>
          <wp:positionH relativeFrom="column">
            <wp:posOffset>5013325</wp:posOffset>
          </wp:positionH>
          <wp:positionV relativeFrom="paragraph">
            <wp:posOffset>-180975</wp:posOffset>
          </wp:positionV>
          <wp:extent cx="941070" cy="690880"/>
          <wp:effectExtent l="0" t="0" r="0" b="0"/>
          <wp:wrapSquare wrapText="bothSides"/>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cala de gris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1070" cy="690880"/>
                  </a:xfrm>
                  <a:prstGeom prst="rect">
                    <a:avLst/>
                  </a:prstGeom>
                </pic:spPr>
              </pic:pic>
            </a:graphicData>
          </a:graphic>
          <wp14:sizeRelH relativeFrom="page">
            <wp14:pctWidth>0</wp14:pctWidth>
          </wp14:sizeRelH>
          <wp14:sizeRelV relativeFrom="page">
            <wp14:pctHeight>0</wp14:pctHeight>
          </wp14:sizeRelV>
        </wp:anchor>
      </w:drawing>
    </w:r>
    <w:r>
      <w:rPr>
        <w:lang w:eastAsia="es-CO"/>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465F" w:rsidRDefault="0000465F" w:rsidP="0001578B">
      <w:pPr>
        <w:spacing w:after="0" w:line="240" w:lineRule="auto"/>
      </w:pPr>
      <w:r>
        <w:separator/>
      </w:r>
    </w:p>
  </w:footnote>
  <w:footnote w:type="continuationSeparator" w:id="0">
    <w:p w:rsidR="0000465F" w:rsidRDefault="0000465F" w:rsidP="0001578B">
      <w:pPr>
        <w:spacing w:after="0" w:line="240" w:lineRule="auto"/>
      </w:pPr>
      <w:r>
        <w:continuationSeparator/>
      </w:r>
    </w:p>
  </w:footnote>
  <w:footnote w:id="1">
    <w:p w:rsidR="00C25AD4" w:rsidRPr="00CB6296" w:rsidRDefault="00C25AD4" w:rsidP="00F07EBA">
      <w:pPr>
        <w:pStyle w:val="Textonotapie"/>
      </w:pPr>
      <w:r w:rsidRPr="00CB6296">
        <w:rPr>
          <w:rStyle w:val="Refdenotaalpie"/>
        </w:rPr>
        <w:footnoteRef/>
      </w:r>
      <w:r w:rsidRPr="00CB6296">
        <w:t xml:space="preserve"> Política Nacional de Seguridad y Convivencia Ciudadana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AD4" w:rsidRDefault="00C25AD4">
    <w:pPr>
      <w:pStyle w:val="Encabezado"/>
    </w:pPr>
    <w:r>
      <w:rPr>
        <w:noProof/>
        <w:lang w:val="es-CO" w:eastAsia="es-CO"/>
      </w:rPr>
      <w:drawing>
        <wp:anchor distT="0" distB="0" distL="114300" distR="114300" simplePos="0" relativeHeight="251666432" behindDoc="0" locked="0" layoutInCell="1" allowOverlap="1" wp14:anchorId="44C843EB" wp14:editId="51E26F67">
          <wp:simplePos x="0" y="0"/>
          <wp:positionH relativeFrom="margin">
            <wp:posOffset>2282190</wp:posOffset>
          </wp:positionH>
          <wp:positionV relativeFrom="paragraph">
            <wp:posOffset>-183515</wp:posOffset>
          </wp:positionV>
          <wp:extent cx="926465" cy="809625"/>
          <wp:effectExtent l="0" t="0" r="6985" b="9525"/>
          <wp:wrapSquare wrapText="bothSides"/>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CALA DE GRIS SEGURIDAD-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6465" cy="809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54411"/>
    <w:multiLevelType w:val="hybridMultilevel"/>
    <w:tmpl w:val="1C60D6E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D2212E1"/>
    <w:multiLevelType w:val="hybridMultilevel"/>
    <w:tmpl w:val="9CCA7C0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89033C"/>
    <w:multiLevelType w:val="hybridMultilevel"/>
    <w:tmpl w:val="45B208BE"/>
    <w:lvl w:ilvl="0" w:tplc="04F23644">
      <w:start w:val="11"/>
      <w:numFmt w:val="decimal"/>
      <w:lvlText w:val="%1."/>
      <w:lvlJc w:val="left"/>
      <w:pPr>
        <w:ind w:left="5889" w:hanging="360"/>
      </w:pPr>
      <w:rPr>
        <w:rFonts w:hint="default"/>
      </w:rPr>
    </w:lvl>
    <w:lvl w:ilvl="1" w:tplc="0C0A0019" w:tentative="1">
      <w:start w:val="1"/>
      <w:numFmt w:val="lowerLetter"/>
      <w:lvlText w:val="%2."/>
      <w:lvlJc w:val="left"/>
      <w:pPr>
        <w:ind w:left="6609" w:hanging="360"/>
      </w:pPr>
    </w:lvl>
    <w:lvl w:ilvl="2" w:tplc="0C0A001B" w:tentative="1">
      <w:start w:val="1"/>
      <w:numFmt w:val="lowerRoman"/>
      <w:lvlText w:val="%3."/>
      <w:lvlJc w:val="right"/>
      <w:pPr>
        <w:ind w:left="7329" w:hanging="180"/>
      </w:pPr>
    </w:lvl>
    <w:lvl w:ilvl="3" w:tplc="0C0A000F" w:tentative="1">
      <w:start w:val="1"/>
      <w:numFmt w:val="decimal"/>
      <w:lvlText w:val="%4."/>
      <w:lvlJc w:val="left"/>
      <w:pPr>
        <w:ind w:left="8049" w:hanging="360"/>
      </w:pPr>
    </w:lvl>
    <w:lvl w:ilvl="4" w:tplc="0C0A0019" w:tentative="1">
      <w:start w:val="1"/>
      <w:numFmt w:val="lowerLetter"/>
      <w:lvlText w:val="%5."/>
      <w:lvlJc w:val="left"/>
      <w:pPr>
        <w:ind w:left="8769" w:hanging="360"/>
      </w:pPr>
    </w:lvl>
    <w:lvl w:ilvl="5" w:tplc="0C0A001B" w:tentative="1">
      <w:start w:val="1"/>
      <w:numFmt w:val="lowerRoman"/>
      <w:lvlText w:val="%6."/>
      <w:lvlJc w:val="right"/>
      <w:pPr>
        <w:ind w:left="9489" w:hanging="180"/>
      </w:pPr>
    </w:lvl>
    <w:lvl w:ilvl="6" w:tplc="0C0A000F" w:tentative="1">
      <w:start w:val="1"/>
      <w:numFmt w:val="decimal"/>
      <w:lvlText w:val="%7."/>
      <w:lvlJc w:val="left"/>
      <w:pPr>
        <w:ind w:left="10209" w:hanging="360"/>
      </w:pPr>
    </w:lvl>
    <w:lvl w:ilvl="7" w:tplc="0C0A0019" w:tentative="1">
      <w:start w:val="1"/>
      <w:numFmt w:val="lowerLetter"/>
      <w:lvlText w:val="%8."/>
      <w:lvlJc w:val="left"/>
      <w:pPr>
        <w:ind w:left="10929" w:hanging="360"/>
      </w:pPr>
    </w:lvl>
    <w:lvl w:ilvl="8" w:tplc="0C0A001B" w:tentative="1">
      <w:start w:val="1"/>
      <w:numFmt w:val="lowerRoman"/>
      <w:lvlText w:val="%9."/>
      <w:lvlJc w:val="right"/>
      <w:pPr>
        <w:ind w:left="11649" w:hanging="180"/>
      </w:pPr>
    </w:lvl>
  </w:abstractNum>
  <w:abstractNum w:abstractNumId="3" w15:restartNumberingAfterBreak="0">
    <w:nsid w:val="2C557541"/>
    <w:multiLevelType w:val="hybridMultilevel"/>
    <w:tmpl w:val="5240C16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2C7F3B39"/>
    <w:multiLevelType w:val="hybridMultilevel"/>
    <w:tmpl w:val="6D3E420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329775E3"/>
    <w:multiLevelType w:val="hybridMultilevel"/>
    <w:tmpl w:val="C89C9058"/>
    <w:lvl w:ilvl="0" w:tplc="184EB45E">
      <w:start w:val="1"/>
      <w:numFmt w:val="decimal"/>
      <w:lvlText w:val="%1."/>
      <w:lvlJc w:val="left"/>
      <w:pPr>
        <w:ind w:left="2771"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34022A4"/>
    <w:multiLevelType w:val="hybridMultilevel"/>
    <w:tmpl w:val="318C52B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55A4728"/>
    <w:multiLevelType w:val="hybridMultilevel"/>
    <w:tmpl w:val="F5020A4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9091505"/>
    <w:multiLevelType w:val="hybridMultilevel"/>
    <w:tmpl w:val="9F748F12"/>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9" w15:restartNumberingAfterBreak="0">
    <w:nsid w:val="4F0078C7"/>
    <w:multiLevelType w:val="hybridMultilevel"/>
    <w:tmpl w:val="751632D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8004B04"/>
    <w:multiLevelType w:val="hybridMultilevel"/>
    <w:tmpl w:val="2F648A72"/>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DBF30E3"/>
    <w:multiLevelType w:val="hybridMultilevel"/>
    <w:tmpl w:val="414A07A6"/>
    <w:lvl w:ilvl="0" w:tplc="63E009B4">
      <w:start w:val="1"/>
      <w:numFmt w:val="bullet"/>
      <w:lvlText w:val="-"/>
      <w:lvlJc w:val="left"/>
      <w:pPr>
        <w:ind w:left="720" w:hanging="360"/>
      </w:pPr>
      <w:rPr>
        <w:rFonts w:ascii="Arial" w:eastAsia="Candara" w:hAnsi="Arial" w:cs="Arial" w:hint="default"/>
        <w:sz w:val="20"/>
      </w:rPr>
    </w:lvl>
    <w:lvl w:ilvl="1" w:tplc="63E009B4">
      <w:start w:val="1"/>
      <w:numFmt w:val="bullet"/>
      <w:lvlText w:val="-"/>
      <w:lvlJc w:val="left"/>
      <w:pPr>
        <w:ind w:left="1440" w:hanging="360"/>
      </w:pPr>
      <w:rPr>
        <w:rFonts w:ascii="Arial" w:eastAsia="Candara" w:hAnsi="Arial" w:cs="Arial" w:hint="default"/>
        <w:sz w:val="20"/>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30E2B68"/>
    <w:multiLevelType w:val="hybridMultilevel"/>
    <w:tmpl w:val="FFEEF2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4412F86"/>
    <w:multiLevelType w:val="hybridMultilevel"/>
    <w:tmpl w:val="E46824A8"/>
    <w:lvl w:ilvl="0" w:tplc="18200DA0">
      <w:start w:val="1"/>
      <w:numFmt w:val="bullet"/>
      <w:lvlText w:val=""/>
      <w:lvlJc w:val="left"/>
      <w:pPr>
        <w:ind w:left="720" w:hanging="360"/>
      </w:pPr>
      <w:rPr>
        <w:rFonts w:ascii="Wingdings" w:hAnsi="Wingdings"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D6850DB"/>
    <w:multiLevelType w:val="hybridMultilevel"/>
    <w:tmpl w:val="F55AFE5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8"/>
  </w:num>
  <w:num w:numId="4">
    <w:abstractNumId w:val="12"/>
  </w:num>
  <w:num w:numId="5">
    <w:abstractNumId w:val="5"/>
  </w:num>
  <w:num w:numId="6">
    <w:abstractNumId w:val="0"/>
  </w:num>
  <w:num w:numId="7">
    <w:abstractNumId w:val="9"/>
  </w:num>
  <w:num w:numId="8">
    <w:abstractNumId w:val="6"/>
  </w:num>
  <w:num w:numId="9">
    <w:abstractNumId w:val="11"/>
  </w:num>
  <w:num w:numId="10">
    <w:abstractNumId w:val="2"/>
  </w:num>
  <w:num w:numId="11">
    <w:abstractNumId w:val="7"/>
  </w:num>
  <w:num w:numId="12">
    <w:abstractNumId w:val="11"/>
  </w:num>
  <w:num w:numId="13">
    <w:abstractNumId w:val="14"/>
  </w:num>
  <w:num w:numId="14">
    <w:abstractNumId w:val="1"/>
  </w:num>
  <w:num w:numId="15">
    <w:abstractNumId w:val="13"/>
  </w:num>
  <w:num w:numId="16">
    <w:abstractNumId w:val="1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o:colormru v:ext="edit" colors="#009fe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78B"/>
    <w:rsid w:val="0000465F"/>
    <w:rsid w:val="0001578B"/>
    <w:rsid w:val="00027B5F"/>
    <w:rsid w:val="000315D6"/>
    <w:rsid w:val="000445F8"/>
    <w:rsid w:val="00050208"/>
    <w:rsid w:val="00053656"/>
    <w:rsid w:val="00054D84"/>
    <w:rsid w:val="00060029"/>
    <w:rsid w:val="0007015D"/>
    <w:rsid w:val="00075432"/>
    <w:rsid w:val="000777A8"/>
    <w:rsid w:val="00083AA8"/>
    <w:rsid w:val="00084DA7"/>
    <w:rsid w:val="000945CB"/>
    <w:rsid w:val="00095553"/>
    <w:rsid w:val="00096B73"/>
    <w:rsid w:val="000B7571"/>
    <w:rsid w:val="000C3DBD"/>
    <w:rsid w:val="000C5368"/>
    <w:rsid w:val="00102C49"/>
    <w:rsid w:val="001119C1"/>
    <w:rsid w:val="001121EB"/>
    <w:rsid w:val="001264ED"/>
    <w:rsid w:val="00126FD6"/>
    <w:rsid w:val="0013158D"/>
    <w:rsid w:val="00143CB8"/>
    <w:rsid w:val="00145B9D"/>
    <w:rsid w:val="00147456"/>
    <w:rsid w:val="00150C0F"/>
    <w:rsid w:val="00154865"/>
    <w:rsid w:val="0015559D"/>
    <w:rsid w:val="001623BD"/>
    <w:rsid w:val="001804F3"/>
    <w:rsid w:val="00197451"/>
    <w:rsid w:val="001A1A09"/>
    <w:rsid w:val="001B1671"/>
    <w:rsid w:val="001C613A"/>
    <w:rsid w:val="001D14C5"/>
    <w:rsid w:val="001D30DC"/>
    <w:rsid w:val="001D3149"/>
    <w:rsid w:val="001D4E03"/>
    <w:rsid w:val="001D5A43"/>
    <w:rsid w:val="001E5DD2"/>
    <w:rsid w:val="0021597C"/>
    <w:rsid w:val="00226A87"/>
    <w:rsid w:val="00233A4C"/>
    <w:rsid w:val="00236339"/>
    <w:rsid w:val="00251068"/>
    <w:rsid w:val="00256555"/>
    <w:rsid w:val="0027384A"/>
    <w:rsid w:val="002839BB"/>
    <w:rsid w:val="00283AC2"/>
    <w:rsid w:val="00284741"/>
    <w:rsid w:val="002A5B23"/>
    <w:rsid w:val="002B0C33"/>
    <w:rsid w:val="002D3B1B"/>
    <w:rsid w:val="002E0574"/>
    <w:rsid w:val="002E6167"/>
    <w:rsid w:val="002F4F6B"/>
    <w:rsid w:val="002F7700"/>
    <w:rsid w:val="003027A4"/>
    <w:rsid w:val="00310FD5"/>
    <w:rsid w:val="00313E11"/>
    <w:rsid w:val="0032355D"/>
    <w:rsid w:val="00346DF4"/>
    <w:rsid w:val="00350A43"/>
    <w:rsid w:val="00375F91"/>
    <w:rsid w:val="0038020C"/>
    <w:rsid w:val="00382862"/>
    <w:rsid w:val="00383E9A"/>
    <w:rsid w:val="00387203"/>
    <w:rsid w:val="00392EAA"/>
    <w:rsid w:val="00394286"/>
    <w:rsid w:val="003B7DEE"/>
    <w:rsid w:val="003D7155"/>
    <w:rsid w:val="003F1F2C"/>
    <w:rsid w:val="003F2645"/>
    <w:rsid w:val="003F2A71"/>
    <w:rsid w:val="003F6662"/>
    <w:rsid w:val="00412EFE"/>
    <w:rsid w:val="00414354"/>
    <w:rsid w:val="004161B9"/>
    <w:rsid w:val="00443695"/>
    <w:rsid w:val="00451D3F"/>
    <w:rsid w:val="00452DB4"/>
    <w:rsid w:val="004A02F3"/>
    <w:rsid w:val="004C0A75"/>
    <w:rsid w:val="004C4CD2"/>
    <w:rsid w:val="004C7539"/>
    <w:rsid w:val="004D0BC2"/>
    <w:rsid w:val="004D723D"/>
    <w:rsid w:val="004F09B9"/>
    <w:rsid w:val="0050115A"/>
    <w:rsid w:val="00503EA2"/>
    <w:rsid w:val="00544701"/>
    <w:rsid w:val="00551DDE"/>
    <w:rsid w:val="00553FF4"/>
    <w:rsid w:val="00584ED9"/>
    <w:rsid w:val="00595F2B"/>
    <w:rsid w:val="005A2F87"/>
    <w:rsid w:val="005B1A9E"/>
    <w:rsid w:val="005C2EDF"/>
    <w:rsid w:val="005C2EE5"/>
    <w:rsid w:val="005E7A0E"/>
    <w:rsid w:val="005E7BA0"/>
    <w:rsid w:val="005F489F"/>
    <w:rsid w:val="00615F56"/>
    <w:rsid w:val="0062144A"/>
    <w:rsid w:val="00624EC8"/>
    <w:rsid w:val="00630EBD"/>
    <w:rsid w:val="006312A6"/>
    <w:rsid w:val="00642156"/>
    <w:rsid w:val="006539D2"/>
    <w:rsid w:val="00671264"/>
    <w:rsid w:val="006868F3"/>
    <w:rsid w:val="006B33E6"/>
    <w:rsid w:val="006B59AB"/>
    <w:rsid w:val="006C754E"/>
    <w:rsid w:val="006D183D"/>
    <w:rsid w:val="006D3FA7"/>
    <w:rsid w:val="006E4988"/>
    <w:rsid w:val="006F6AC4"/>
    <w:rsid w:val="00702873"/>
    <w:rsid w:val="00710538"/>
    <w:rsid w:val="00717222"/>
    <w:rsid w:val="007406F9"/>
    <w:rsid w:val="0076123B"/>
    <w:rsid w:val="007668D4"/>
    <w:rsid w:val="0078439F"/>
    <w:rsid w:val="00787E40"/>
    <w:rsid w:val="007951CC"/>
    <w:rsid w:val="007A2D30"/>
    <w:rsid w:val="007A3DE1"/>
    <w:rsid w:val="007C197C"/>
    <w:rsid w:val="008014B0"/>
    <w:rsid w:val="008018E0"/>
    <w:rsid w:val="00807E1F"/>
    <w:rsid w:val="00816307"/>
    <w:rsid w:val="008379E3"/>
    <w:rsid w:val="00843DBF"/>
    <w:rsid w:val="00847139"/>
    <w:rsid w:val="00870F46"/>
    <w:rsid w:val="0087260D"/>
    <w:rsid w:val="00872C89"/>
    <w:rsid w:val="00876459"/>
    <w:rsid w:val="00880472"/>
    <w:rsid w:val="0088172C"/>
    <w:rsid w:val="00890F03"/>
    <w:rsid w:val="0089305B"/>
    <w:rsid w:val="008958F9"/>
    <w:rsid w:val="0089727C"/>
    <w:rsid w:val="00897B41"/>
    <w:rsid w:val="008A17AE"/>
    <w:rsid w:val="008A1A97"/>
    <w:rsid w:val="008D3CED"/>
    <w:rsid w:val="008F1914"/>
    <w:rsid w:val="009045D8"/>
    <w:rsid w:val="009056AC"/>
    <w:rsid w:val="009075B6"/>
    <w:rsid w:val="009133C5"/>
    <w:rsid w:val="00917169"/>
    <w:rsid w:val="009174BB"/>
    <w:rsid w:val="00922D1A"/>
    <w:rsid w:val="00931226"/>
    <w:rsid w:val="00942165"/>
    <w:rsid w:val="00960CDA"/>
    <w:rsid w:val="009726BF"/>
    <w:rsid w:val="0097579F"/>
    <w:rsid w:val="0099527A"/>
    <w:rsid w:val="009C0960"/>
    <w:rsid w:val="009C273F"/>
    <w:rsid w:val="009C466B"/>
    <w:rsid w:val="009E7B3F"/>
    <w:rsid w:val="00A07F24"/>
    <w:rsid w:val="00A1487D"/>
    <w:rsid w:val="00A21398"/>
    <w:rsid w:val="00A22999"/>
    <w:rsid w:val="00A30EA6"/>
    <w:rsid w:val="00A319E7"/>
    <w:rsid w:val="00A4212D"/>
    <w:rsid w:val="00A9123E"/>
    <w:rsid w:val="00A96198"/>
    <w:rsid w:val="00A9678D"/>
    <w:rsid w:val="00A96C05"/>
    <w:rsid w:val="00AD12F4"/>
    <w:rsid w:val="00AF5E67"/>
    <w:rsid w:val="00B164BC"/>
    <w:rsid w:val="00B30BDE"/>
    <w:rsid w:val="00B35A17"/>
    <w:rsid w:val="00B4373C"/>
    <w:rsid w:val="00B61026"/>
    <w:rsid w:val="00B62873"/>
    <w:rsid w:val="00B6710E"/>
    <w:rsid w:val="00B82350"/>
    <w:rsid w:val="00BD145F"/>
    <w:rsid w:val="00C079F0"/>
    <w:rsid w:val="00C15969"/>
    <w:rsid w:val="00C25AD4"/>
    <w:rsid w:val="00C2740E"/>
    <w:rsid w:val="00C47070"/>
    <w:rsid w:val="00C526D0"/>
    <w:rsid w:val="00C542A1"/>
    <w:rsid w:val="00C54480"/>
    <w:rsid w:val="00C55641"/>
    <w:rsid w:val="00C615A4"/>
    <w:rsid w:val="00C70972"/>
    <w:rsid w:val="00C71A72"/>
    <w:rsid w:val="00C95BCE"/>
    <w:rsid w:val="00CB6296"/>
    <w:rsid w:val="00CE1EF7"/>
    <w:rsid w:val="00CE224C"/>
    <w:rsid w:val="00CF55DC"/>
    <w:rsid w:val="00CF584A"/>
    <w:rsid w:val="00D02B3D"/>
    <w:rsid w:val="00D2072E"/>
    <w:rsid w:val="00D21665"/>
    <w:rsid w:val="00D21E35"/>
    <w:rsid w:val="00D22FDA"/>
    <w:rsid w:val="00D41F17"/>
    <w:rsid w:val="00D47C57"/>
    <w:rsid w:val="00D75E66"/>
    <w:rsid w:val="00DA1E3A"/>
    <w:rsid w:val="00DA3D2B"/>
    <w:rsid w:val="00DC5A84"/>
    <w:rsid w:val="00E02CBF"/>
    <w:rsid w:val="00E07B6E"/>
    <w:rsid w:val="00E10903"/>
    <w:rsid w:val="00E11858"/>
    <w:rsid w:val="00E12D44"/>
    <w:rsid w:val="00E30D3B"/>
    <w:rsid w:val="00E37C7B"/>
    <w:rsid w:val="00E644CE"/>
    <w:rsid w:val="00E65DA3"/>
    <w:rsid w:val="00E7058F"/>
    <w:rsid w:val="00E94065"/>
    <w:rsid w:val="00EA0AB7"/>
    <w:rsid w:val="00EB09E4"/>
    <w:rsid w:val="00EC1777"/>
    <w:rsid w:val="00ED357E"/>
    <w:rsid w:val="00F040EA"/>
    <w:rsid w:val="00F05C02"/>
    <w:rsid w:val="00F07EBA"/>
    <w:rsid w:val="00F1033E"/>
    <w:rsid w:val="00F117E8"/>
    <w:rsid w:val="00F458F9"/>
    <w:rsid w:val="00F500D9"/>
    <w:rsid w:val="00F57DEA"/>
    <w:rsid w:val="00F64876"/>
    <w:rsid w:val="00F71A2D"/>
    <w:rsid w:val="00FA3180"/>
    <w:rsid w:val="00FB04D2"/>
    <w:rsid w:val="00FB3856"/>
    <w:rsid w:val="00FB55F3"/>
    <w:rsid w:val="00FD6A05"/>
    <w:rsid w:val="00FD6CB8"/>
    <w:rsid w:val="00FE6A52"/>
    <w:rsid w:val="00FF0FD8"/>
    <w:rsid w:val="00FF36EC"/>
    <w:rsid w:val="00FF46D8"/>
    <w:rsid w:val="00FF5BF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9fe3"/>
    </o:shapedefaults>
    <o:shapelayout v:ext="edit">
      <o:idmap v:ext="edit" data="1"/>
    </o:shapelayout>
  </w:shapeDefaults>
  <w:decimalSymbol w:val=","/>
  <w:listSeparator w:val=";"/>
  <w14:docId w14:val="5C24BD34"/>
  <w15:docId w15:val="{865D96D5-C411-405C-839A-ADDCC695A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B55F3"/>
    <w:pPr>
      <w:suppressAutoHyphens/>
    </w:pPr>
    <w:rPr>
      <w:rFonts w:ascii="Times New Roman" w:eastAsia="Times New Roman" w:hAnsi="Times New Roman" w:cs="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next w:val="Cuerpodetexto"/>
    <w:rsid w:val="0001578B"/>
    <w:pPr>
      <w:keepNext/>
      <w:spacing w:before="240" w:after="120"/>
    </w:pPr>
    <w:rPr>
      <w:rFonts w:ascii="Arial" w:eastAsia="Droid Sans" w:hAnsi="Arial" w:cs="Lohit Hindi"/>
      <w:sz w:val="28"/>
      <w:szCs w:val="28"/>
    </w:rPr>
  </w:style>
  <w:style w:type="paragraph" w:customStyle="1" w:styleId="Cuerpodetexto">
    <w:name w:val="Cuerpo de texto"/>
    <w:basedOn w:val="Normal"/>
    <w:rsid w:val="0001578B"/>
    <w:pPr>
      <w:spacing w:after="120"/>
    </w:pPr>
  </w:style>
  <w:style w:type="paragraph" w:styleId="Lista">
    <w:name w:val="List"/>
    <w:basedOn w:val="Cuerpodetexto"/>
    <w:rsid w:val="0001578B"/>
    <w:rPr>
      <w:rFonts w:cs="Lohit Hindi"/>
    </w:rPr>
  </w:style>
  <w:style w:type="paragraph" w:customStyle="1" w:styleId="Pie">
    <w:name w:val="Pie"/>
    <w:basedOn w:val="Normal"/>
    <w:rsid w:val="0001578B"/>
    <w:pPr>
      <w:suppressLineNumbers/>
      <w:spacing w:before="120" w:after="120"/>
    </w:pPr>
    <w:rPr>
      <w:rFonts w:cs="Lohit Hindi"/>
      <w:i/>
      <w:iCs/>
      <w:sz w:val="24"/>
      <w:szCs w:val="24"/>
    </w:rPr>
  </w:style>
  <w:style w:type="paragraph" w:customStyle="1" w:styleId="ndice">
    <w:name w:val="Índice"/>
    <w:basedOn w:val="Normal"/>
    <w:rsid w:val="0001578B"/>
    <w:pPr>
      <w:suppressLineNumbers/>
    </w:pPr>
    <w:rPr>
      <w:rFonts w:cs="Lohit Hindi"/>
    </w:rPr>
  </w:style>
  <w:style w:type="paragraph" w:customStyle="1" w:styleId="Encabezamiento">
    <w:name w:val="Encabezamiento"/>
    <w:basedOn w:val="Normal"/>
    <w:rsid w:val="0001578B"/>
    <w:pPr>
      <w:tabs>
        <w:tab w:val="center" w:pos="4252"/>
        <w:tab w:val="right" w:pos="8504"/>
      </w:tabs>
    </w:pPr>
  </w:style>
  <w:style w:type="paragraph" w:styleId="Piedepgina">
    <w:name w:val="footer"/>
    <w:basedOn w:val="Normal"/>
    <w:rsid w:val="0001578B"/>
    <w:pPr>
      <w:tabs>
        <w:tab w:val="center" w:pos="4252"/>
        <w:tab w:val="right" w:pos="8504"/>
      </w:tabs>
    </w:pPr>
  </w:style>
  <w:style w:type="paragraph" w:customStyle="1" w:styleId="Contenidodelmarco">
    <w:name w:val="Contenido del marco"/>
    <w:basedOn w:val="Normal"/>
    <w:rsid w:val="0001578B"/>
  </w:style>
  <w:style w:type="paragraph" w:styleId="Textodeglobo">
    <w:name w:val="Balloon Text"/>
    <w:basedOn w:val="Normal"/>
    <w:link w:val="TextodegloboCar"/>
    <w:uiPriority w:val="99"/>
    <w:semiHidden/>
    <w:unhideWhenUsed/>
    <w:rsid w:val="00392EA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92EAA"/>
    <w:rPr>
      <w:rFonts w:ascii="Tahoma" w:eastAsia="Times New Roman" w:hAnsi="Tahoma" w:cs="Tahoma"/>
      <w:sz w:val="16"/>
      <w:szCs w:val="16"/>
      <w:lang w:val="es-ES" w:eastAsia="zh-CN"/>
    </w:rPr>
  </w:style>
  <w:style w:type="paragraph" w:styleId="Textonotapie">
    <w:name w:val="footnote text"/>
    <w:aliases w:val=" Car,ft Car Car,texto de nota al pie Car,ft Car,texto de nota al pie,Texto nota pie Car1,Texto nota pie Car Car1,Texto nota pie Car1 Car,ft Car Car Car Car,Texto nota pie Car1 Car Car,Texto nota pie Car Car Car Car,ft,Car,ft Char,f,ft1"/>
    <w:basedOn w:val="Normal"/>
    <w:link w:val="TextonotapieCar"/>
    <w:uiPriority w:val="99"/>
    <w:unhideWhenUsed/>
    <w:qFormat/>
    <w:rsid w:val="00C71A72"/>
    <w:pPr>
      <w:suppressAutoHyphens w:val="0"/>
      <w:spacing w:after="0" w:line="240" w:lineRule="auto"/>
    </w:pPr>
    <w:rPr>
      <w:lang w:eastAsia="es-ES"/>
    </w:rPr>
  </w:style>
  <w:style w:type="character" w:customStyle="1" w:styleId="TextonotapieCar">
    <w:name w:val="Texto nota pie Car"/>
    <w:aliases w:val=" Car Car,ft Car Car Car,texto de nota al pie Car Car,ft Car Car1,texto de nota al pie Car1,Texto nota pie Car1 Car1,Texto nota pie Car Car1 Car,Texto nota pie Car1 Car Car1,ft Car Car Car Car Car,Texto nota pie Car1 Car Car Car,f Car"/>
    <w:basedOn w:val="Fuentedeprrafopredeter"/>
    <w:link w:val="Textonotapie"/>
    <w:uiPriority w:val="99"/>
    <w:rsid w:val="00C71A72"/>
    <w:rPr>
      <w:rFonts w:ascii="Times New Roman" w:eastAsia="Times New Roman" w:hAnsi="Times New Roman" w:cs="Times New Roman"/>
      <w:sz w:val="20"/>
      <w:szCs w:val="20"/>
      <w:lang w:val="es-ES" w:eastAsia="es-ES"/>
    </w:rPr>
  </w:style>
  <w:style w:type="character" w:styleId="Refdenotaalpie">
    <w:name w:val="footnote reference"/>
    <w:aliases w:val="Texto de nota al pie,Ref,de nota al pie,Nota de pie,referencia nota al pie,Ref. de nota al pie 2,Nota al pie info 1,16 Point,Superscript 6 Point,Superscript 6 Point + 11 pt,ftref,Pie de Página,FC,Texto de nota al"/>
    <w:basedOn w:val="Fuentedeprrafopredeter"/>
    <w:uiPriority w:val="99"/>
    <w:unhideWhenUsed/>
    <w:qFormat/>
    <w:rsid w:val="00C71A72"/>
    <w:rPr>
      <w:vertAlign w:val="superscript"/>
    </w:rPr>
  </w:style>
  <w:style w:type="paragraph" w:styleId="Prrafodelista">
    <w:name w:val="List Paragraph"/>
    <w:aliases w:val="Bullet List,FooterText,numbered,List Paragraph1,Paragraphe de liste1,lp1,Párrafo de lista2,List,Bullets,Fluvial1,Ha,Cuadrícula clara - Énfasis 31,Normal. Viñetas,HOJA,Bolita,Párrafo de lista4,BOLADEF,Párrafo de lista3,Párrafo de lista21"/>
    <w:basedOn w:val="Normal"/>
    <w:link w:val="PrrafodelistaCar"/>
    <w:uiPriority w:val="34"/>
    <w:qFormat/>
    <w:rsid w:val="00C54480"/>
    <w:pPr>
      <w:suppressAutoHyphens w:val="0"/>
      <w:spacing w:after="0" w:line="240" w:lineRule="auto"/>
      <w:ind w:left="720"/>
      <w:contextualSpacing/>
    </w:pPr>
    <w:rPr>
      <w:sz w:val="24"/>
      <w:szCs w:val="24"/>
      <w:lang w:eastAsia="es-ES"/>
    </w:rPr>
  </w:style>
  <w:style w:type="character" w:customStyle="1" w:styleId="PrrafodelistaCar">
    <w:name w:val="Párrafo de lista Car"/>
    <w:aliases w:val="Bullet List Car,FooterText Car,numbered Car,List Paragraph1 Car,Paragraphe de liste1 Car,lp1 Car,Párrafo de lista2 Car,List Car,Bullets Car,Fluvial1 Car,Ha Car,Cuadrícula clara - Énfasis 31 Car,Normal. Viñetas Car,HOJA Car"/>
    <w:link w:val="Prrafodelista"/>
    <w:uiPriority w:val="34"/>
    <w:qFormat/>
    <w:locked/>
    <w:rsid w:val="00F07EBA"/>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C54480"/>
    <w:pPr>
      <w:suppressAutoHyphens w:val="0"/>
      <w:spacing w:after="120" w:line="240" w:lineRule="auto"/>
      <w:ind w:left="283"/>
    </w:pPr>
    <w:rPr>
      <w:sz w:val="24"/>
      <w:szCs w:val="24"/>
      <w:lang w:eastAsia="es-ES"/>
    </w:rPr>
  </w:style>
  <w:style w:type="character" w:customStyle="1" w:styleId="SangradetextonormalCar">
    <w:name w:val="Sangría de texto normal Car"/>
    <w:basedOn w:val="Fuentedeprrafopredeter"/>
    <w:link w:val="Sangradetextonormal"/>
    <w:uiPriority w:val="99"/>
    <w:rsid w:val="00C54480"/>
    <w:rPr>
      <w:rFonts w:ascii="Times New Roman" w:eastAsia="Times New Roman" w:hAnsi="Times New Roman" w:cs="Times New Roman"/>
      <w:sz w:val="24"/>
      <w:szCs w:val="24"/>
      <w:lang w:val="es-ES" w:eastAsia="es-ES"/>
    </w:rPr>
  </w:style>
  <w:style w:type="paragraph" w:customStyle="1" w:styleId="Cuerpo">
    <w:name w:val="Cuerpo"/>
    <w:qFormat/>
    <w:rsid w:val="00C54480"/>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val="es-ES" w:eastAsia="es-ES"/>
    </w:rPr>
  </w:style>
  <w:style w:type="paragraph" w:styleId="NormalWeb">
    <w:name w:val="Normal (Web)"/>
    <w:basedOn w:val="Normal"/>
    <w:uiPriority w:val="99"/>
    <w:semiHidden/>
    <w:unhideWhenUsed/>
    <w:rsid w:val="004C4CD2"/>
    <w:pPr>
      <w:suppressAutoHyphens w:val="0"/>
      <w:spacing w:before="100" w:beforeAutospacing="1" w:after="100" w:afterAutospacing="1" w:line="240" w:lineRule="auto"/>
    </w:pPr>
    <w:rPr>
      <w:sz w:val="24"/>
      <w:szCs w:val="24"/>
      <w:lang w:eastAsia="es-ES"/>
    </w:rPr>
  </w:style>
  <w:style w:type="character" w:customStyle="1" w:styleId="apple-converted-space">
    <w:name w:val="apple-converted-space"/>
    <w:basedOn w:val="Fuentedeprrafopredeter"/>
    <w:rsid w:val="004C4CD2"/>
  </w:style>
  <w:style w:type="character" w:styleId="Hipervnculo">
    <w:name w:val="Hyperlink"/>
    <w:basedOn w:val="Fuentedeprrafopredeter"/>
    <w:uiPriority w:val="99"/>
    <w:semiHidden/>
    <w:unhideWhenUsed/>
    <w:rsid w:val="004C4CD2"/>
    <w:rPr>
      <w:color w:val="0000FF"/>
      <w:u w:val="single"/>
    </w:rPr>
  </w:style>
  <w:style w:type="character" w:styleId="nfasis">
    <w:name w:val="Emphasis"/>
    <w:basedOn w:val="Fuentedeprrafopredeter"/>
    <w:uiPriority w:val="20"/>
    <w:qFormat/>
    <w:rsid w:val="004C4CD2"/>
    <w:rPr>
      <w:i/>
      <w:iCs/>
    </w:rPr>
  </w:style>
  <w:style w:type="table" w:styleId="Tablaconcuadrcula">
    <w:name w:val="Table Grid"/>
    <w:basedOn w:val="Tablanormal"/>
    <w:uiPriority w:val="59"/>
    <w:rsid w:val="000945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qFormat/>
    <w:rsid w:val="00126FD6"/>
    <w:rPr>
      <w:rFonts w:ascii="Cambria" w:eastAsia="MS Gothic" w:hAnsi="Cambria" w:cs="Cambria"/>
      <w:iCs/>
      <w:color w:val="4BACC6"/>
      <w:spacing w:val="15"/>
      <w:sz w:val="24"/>
      <w:szCs w:val="24"/>
      <w:lang w:val="es-CO"/>
    </w:rPr>
  </w:style>
  <w:style w:type="character" w:customStyle="1" w:styleId="SubttuloCar">
    <w:name w:val="Subtítulo Car"/>
    <w:basedOn w:val="Fuentedeprrafopredeter"/>
    <w:link w:val="Subttulo"/>
    <w:rsid w:val="00126FD6"/>
    <w:rPr>
      <w:rFonts w:ascii="Cambria" w:eastAsia="MS Gothic" w:hAnsi="Cambria" w:cs="Cambria"/>
      <w:iCs/>
      <w:color w:val="4BACC6"/>
      <w:spacing w:val="15"/>
      <w:sz w:val="24"/>
      <w:szCs w:val="24"/>
      <w:lang w:eastAsia="zh-CN"/>
    </w:rPr>
  </w:style>
  <w:style w:type="paragraph" w:styleId="Ttulo">
    <w:name w:val="Title"/>
    <w:basedOn w:val="Normal"/>
    <w:next w:val="Textoindependiente"/>
    <w:link w:val="TtuloCar"/>
    <w:uiPriority w:val="10"/>
    <w:qFormat/>
    <w:rsid w:val="00710538"/>
    <w:pPr>
      <w:pBdr>
        <w:top w:val="none" w:sz="0" w:space="0" w:color="000000"/>
        <w:left w:val="none" w:sz="0" w:space="0" w:color="000000"/>
        <w:bottom w:val="single" w:sz="8" w:space="4" w:color="4F81BD"/>
        <w:right w:val="none" w:sz="0" w:space="0" w:color="000000"/>
      </w:pBdr>
      <w:spacing w:after="0" w:line="360" w:lineRule="auto"/>
      <w:contextualSpacing/>
      <w:jc w:val="center"/>
    </w:pPr>
    <w:rPr>
      <w:rFonts w:ascii="Cambria" w:eastAsia="MS Gothic" w:hAnsi="Cambria" w:cs="Cambria"/>
      <w:b/>
      <w:bCs/>
      <w:color w:val="17365D"/>
      <w:spacing w:val="5"/>
      <w:kern w:val="1"/>
      <w:sz w:val="56"/>
      <w:szCs w:val="56"/>
      <w:lang w:val="es-CO"/>
    </w:rPr>
  </w:style>
  <w:style w:type="paragraph" w:styleId="Textoindependiente">
    <w:name w:val="Body Text"/>
    <w:basedOn w:val="Normal"/>
    <w:link w:val="TextoindependienteCar"/>
    <w:uiPriority w:val="99"/>
    <w:semiHidden/>
    <w:unhideWhenUsed/>
    <w:rsid w:val="00710538"/>
    <w:pPr>
      <w:spacing w:after="120"/>
    </w:pPr>
  </w:style>
  <w:style w:type="character" w:customStyle="1" w:styleId="TextoindependienteCar">
    <w:name w:val="Texto independiente Car"/>
    <w:basedOn w:val="Fuentedeprrafopredeter"/>
    <w:link w:val="Textoindependiente"/>
    <w:uiPriority w:val="99"/>
    <w:semiHidden/>
    <w:rsid w:val="00710538"/>
    <w:rPr>
      <w:rFonts w:ascii="Times New Roman" w:eastAsia="Times New Roman" w:hAnsi="Times New Roman" w:cs="Times New Roman"/>
      <w:sz w:val="20"/>
      <w:szCs w:val="20"/>
      <w:lang w:val="es-ES" w:eastAsia="zh-CN"/>
    </w:rPr>
  </w:style>
  <w:style w:type="character" w:customStyle="1" w:styleId="TtuloCar">
    <w:name w:val="Título Car"/>
    <w:basedOn w:val="Fuentedeprrafopredeter"/>
    <w:link w:val="Ttulo"/>
    <w:uiPriority w:val="10"/>
    <w:rsid w:val="00710538"/>
    <w:rPr>
      <w:rFonts w:ascii="Cambria" w:eastAsia="MS Gothic" w:hAnsi="Cambria" w:cs="Cambria"/>
      <w:b/>
      <w:bCs/>
      <w:color w:val="17365D"/>
      <w:spacing w:val="5"/>
      <w:kern w:val="1"/>
      <w:sz w:val="56"/>
      <w:szCs w:val="5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455427">
      <w:bodyDiv w:val="1"/>
      <w:marLeft w:val="0"/>
      <w:marRight w:val="0"/>
      <w:marTop w:val="0"/>
      <w:marBottom w:val="0"/>
      <w:divBdr>
        <w:top w:val="none" w:sz="0" w:space="0" w:color="auto"/>
        <w:left w:val="none" w:sz="0" w:space="0" w:color="auto"/>
        <w:bottom w:val="none" w:sz="0" w:space="0" w:color="auto"/>
        <w:right w:val="none" w:sz="0" w:space="0" w:color="auto"/>
      </w:divBdr>
    </w:div>
    <w:div w:id="198402624">
      <w:bodyDiv w:val="1"/>
      <w:marLeft w:val="0"/>
      <w:marRight w:val="0"/>
      <w:marTop w:val="0"/>
      <w:marBottom w:val="0"/>
      <w:divBdr>
        <w:top w:val="none" w:sz="0" w:space="0" w:color="auto"/>
        <w:left w:val="none" w:sz="0" w:space="0" w:color="auto"/>
        <w:bottom w:val="none" w:sz="0" w:space="0" w:color="auto"/>
        <w:right w:val="none" w:sz="0" w:space="0" w:color="auto"/>
      </w:divBdr>
    </w:div>
    <w:div w:id="221599072">
      <w:bodyDiv w:val="1"/>
      <w:marLeft w:val="0"/>
      <w:marRight w:val="0"/>
      <w:marTop w:val="0"/>
      <w:marBottom w:val="0"/>
      <w:divBdr>
        <w:top w:val="none" w:sz="0" w:space="0" w:color="auto"/>
        <w:left w:val="none" w:sz="0" w:space="0" w:color="auto"/>
        <w:bottom w:val="none" w:sz="0" w:space="0" w:color="auto"/>
        <w:right w:val="none" w:sz="0" w:space="0" w:color="auto"/>
      </w:divBdr>
    </w:div>
    <w:div w:id="307903869">
      <w:bodyDiv w:val="1"/>
      <w:marLeft w:val="0"/>
      <w:marRight w:val="0"/>
      <w:marTop w:val="0"/>
      <w:marBottom w:val="0"/>
      <w:divBdr>
        <w:top w:val="none" w:sz="0" w:space="0" w:color="auto"/>
        <w:left w:val="none" w:sz="0" w:space="0" w:color="auto"/>
        <w:bottom w:val="none" w:sz="0" w:space="0" w:color="auto"/>
        <w:right w:val="none" w:sz="0" w:space="0" w:color="auto"/>
      </w:divBdr>
    </w:div>
    <w:div w:id="436095957">
      <w:bodyDiv w:val="1"/>
      <w:marLeft w:val="0"/>
      <w:marRight w:val="0"/>
      <w:marTop w:val="0"/>
      <w:marBottom w:val="0"/>
      <w:divBdr>
        <w:top w:val="none" w:sz="0" w:space="0" w:color="auto"/>
        <w:left w:val="none" w:sz="0" w:space="0" w:color="auto"/>
        <w:bottom w:val="none" w:sz="0" w:space="0" w:color="auto"/>
        <w:right w:val="none" w:sz="0" w:space="0" w:color="auto"/>
      </w:divBdr>
    </w:div>
    <w:div w:id="527988325">
      <w:bodyDiv w:val="1"/>
      <w:marLeft w:val="0"/>
      <w:marRight w:val="0"/>
      <w:marTop w:val="0"/>
      <w:marBottom w:val="0"/>
      <w:divBdr>
        <w:top w:val="none" w:sz="0" w:space="0" w:color="auto"/>
        <w:left w:val="none" w:sz="0" w:space="0" w:color="auto"/>
        <w:bottom w:val="none" w:sz="0" w:space="0" w:color="auto"/>
        <w:right w:val="none" w:sz="0" w:space="0" w:color="auto"/>
      </w:divBdr>
    </w:div>
    <w:div w:id="588542800">
      <w:bodyDiv w:val="1"/>
      <w:marLeft w:val="0"/>
      <w:marRight w:val="0"/>
      <w:marTop w:val="0"/>
      <w:marBottom w:val="0"/>
      <w:divBdr>
        <w:top w:val="none" w:sz="0" w:space="0" w:color="auto"/>
        <w:left w:val="none" w:sz="0" w:space="0" w:color="auto"/>
        <w:bottom w:val="none" w:sz="0" w:space="0" w:color="auto"/>
        <w:right w:val="none" w:sz="0" w:space="0" w:color="auto"/>
      </w:divBdr>
      <w:divsChild>
        <w:div w:id="1535726539">
          <w:blockQuote w:val="1"/>
          <w:marLeft w:val="0"/>
          <w:marRight w:val="0"/>
          <w:marTop w:val="0"/>
          <w:marBottom w:val="0"/>
          <w:divBdr>
            <w:top w:val="none" w:sz="0" w:space="0" w:color="auto"/>
            <w:left w:val="none" w:sz="0" w:space="0" w:color="auto"/>
            <w:bottom w:val="none" w:sz="0" w:space="0" w:color="auto"/>
            <w:right w:val="none" w:sz="0" w:space="0" w:color="auto"/>
          </w:divBdr>
        </w:div>
        <w:div w:id="11792026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2220964">
      <w:bodyDiv w:val="1"/>
      <w:marLeft w:val="0"/>
      <w:marRight w:val="0"/>
      <w:marTop w:val="0"/>
      <w:marBottom w:val="0"/>
      <w:divBdr>
        <w:top w:val="none" w:sz="0" w:space="0" w:color="auto"/>
        <w:left w:val="none" w:sz="0" w:space="0" w:color="auto"/>
        <w:bottom w:val="none" w:sz="0" w:space="0" w:color="auto"/>
        <w:right w:val="none" w:sz="0" w:space="0" w:color="auto"/>
      </w:divBdr>
    </w:div>
    <w:div w:id="731274709">
      <w:bodyDiv w:val="1"/>
      <w:marLeft w:val="0"/>
      <w:marRight w:val="0"/>
      <w:marTop w:val="0"/>
      <w:marBottom w:val="0"/>
      <w:divBdr>
        <w:top w:val="none" w:sz="0" w:space="0" w:color="auto"/>
        <w:left w:val="none" w:sz="0" w:space="0" w:color="auto"/>
        <w:bottom w:val="none" w:sz="0" w:space="0" w:color="auto"/>
        <w:right w:val="none" w:sz="0" w:space="0" w:color="auto"/>
      </w:divBdr>
      <w:divsChild>
        <w:div w:id="660427289">
          <w:marLeft w:val="0"/>
          <w:marRight w:val="0"/>
          <w:marTop w:val="0"/>
          <w:marBottom w:val="0"/>
          <w:divBdr>
            <w:top w:val="none" w:sz="0" w:space="0" w:color="auto"/>
            <w:left w:val="none" w:sz="0" w:space="0" w:color="auto"/>
            <w:bottom w:val="none" w:sz="0" w:space="0" w:color="auto"/>
            <w:right w:val="none" w:sz="0" w:space="0" w:color="auto"/>
          </w:divBdr>
          <w:divsChild>
            <w:div w:id="56977890">
              <w:marLeft w:val="0"/>
              <w:marRight w:val="0"/>
              <w:marTop w:val="0"/>
              <w:marBottom w:val="0"/>
              <w:divBdr>
                <w:top w:val="none" w:sz="0" w:space="0" w:color="auto"/>
                <w:left w:val="none" w:sz="0" w:space="0" w:color="auto"/>
                <w:bottom w:val="none" w:sz="0" w:space="0" w:color="auto"/>
                <w:right w:val="none" w:sz="0" w:space="0" w:color="auto"/>
              </w:divBdr>
              <w:divsChild>
                <w:div w:id="1079864667">
                  <w:marLeft w:val="0"/>
                  <w:marRight w:val="0"/>
                  <w:marTop w:val="0"/>
                  <w:marBottom w:val="0"/>
                  <w:divBdr>
                    <w:top w:val="none" w:sz="0" w:space="0" w:color="auto"/>
                    <w:left w:val="none" w:sz="0" w:space="0" w:color="auto"/>
                    <w:bottom w:val="none" w:sz="0" w:space="0" w:color="auto"/>
                    <w:right w:val="none" w:sz="0" w:space="0" w:color="auto"/>
                  </w:divBdr>
                </w:div>
                <w:div w:id="190036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898369">
      <w:bodyDiv w:val="1"/>
      <w:marLeft w:val="0"/>
      <w:marRight w:val="0"/>
      <w:marTop w:val="0"/>
      <w:marBottom w:val="0"/>
      <w:divBdr>
        <w:top w:val="none" w:sz="0" w:space="0" w:color="auto"/>
        <w:left w:val="none" w:sz="0" w:space="0" w:color="auto"/>
        <w:bottom w:val="none" w:sz="0" w:space="0" w:color="auto"/>
        <w:right w:val="none" w:sz="0" w:space="0" w:color="auto"/>
      </w:divBdr>
    </w:div>
    <w:div w:id="1023827168">
      <w:bodyDiv w:val="1"/>
      <w:marLeft w:val="0"/>
      <w:marRight w:val="0"/>
      <w:marTop w:val="0"/>
      <w:marBottom w:val="0"/>
      <w:divBdr>
        <w:top w:val="none" w:sz="0" w:space="0" w:color="auto"/>
        <w:left w:val="none" w:sz="0" w:space="0" w:color="auto"/>
        <w:bottom w:val="none" w:sz="0" w:space="0" w:color="auto"/>
        <w:right w:val="none" w:sz="0" w:space="0" w:color="auto"/>
      </w:divBdr>
    </w:div>
    <w:div w:id="1200246018">
      <w:bodyDiv w:val="1"/>
      <w:marLeft w:val="0"/>
      <w:marRight w:val="0"/>
      <w:marTop w:val="0"/>
      <w:marBottom w:val="0"/>
      <w:divBdr>
        <w:top w:val="none" w:sz="0" w:space="0" w:color="auto"/>
        <w:left w:val="none" w:sz="0" w:space="0" w:color="auto"/>
        <w:bottom w:val="none" w:sz="0" w:space="0" w:color="auto"/>
        <w:right w:val="none" w:sz="0" w:space="0" w:color="auto"/>
      </w:divBdr>
    </w:div>
    <w:div w:id="1803570487">
      <w:bodyDiv w:val="1"/>
      <w:marLeft w:val="0"/>
      <w:marRight w:val="0"/>
      <w:marTop w:val="0"/>
      <w:marBottom w:val="0"/>
      <w:divBdr>
        <w:top w:val="none" w:sz="0" w:space="0" w:color="auto"/>
        <w:left w:val="none" w:sz="0" w:space="0" w:color="auto"/>
        <w:bottom w:val="none" w:sz="0" w:space="0" w:color="auto"/>
        <w:right w:val="none" w:sz="0" w:space="0" w:color="auto"/>
      </w:divBdr>
    </w:div>
    <w:div w:id="2073498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DE66B-E066-4304-8D2A-BD708F8D0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1127</TotalTime>
  <Pages>44</Pages>
  <Words>15449</Words>
  <Characters>84972</Characters>
  <Application>Microsoft Office Word</Application>
  <DocSecurity>0</DocSecurity>
  <Lines>708</Lines>
  <Paragraphs>200</Paragraphs>
  <ScaleCrop>false</ScaleCrop>
  <HeadingPairs>
    <vt:vector size="2" baseType="variant">
      <vt:variant>
        <vt:lpstr>Título</vt:lpstr>
      </vt:variant>
      <vt:variant>
        <vt:i4>1</vt:i4>
      </vt:variant>
    </vt:vector>
  </HeadingPairs>
  <TitlesOfParts>
    <vt:vector size="1" baseType="lpstr">
      <vt:lpstr/>
    </vt:vector>
  </TitlesOfParts>
  <Company>Secretaria de Gobierno</Company>
  <LinksUpToDate>false</LinksUpToDate>
  <CharactersWithSpaces>100221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Rafael.Arevalo</dc:creator>
  <cp:lastModifiedBy>Olga Patricia Quintero Castellanos</cp:lastModifiedBy>
  <cp:revision>15</cp:revision>
  <cp:lastPrinted>2017-02-14T16:17:00Z</cp:lastPrinted>
  <dcterms:created xsi:type="dcterms:W3CDTF">2020-02-05T15:25:00Z</dcterms:created>
  <dcterms:modified xsi:type="dcterms:W3CDTF">2020-02-12T22:00:00Z</dcterms:modified>
</cp:coreProperties>
</file>